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A0AD" w14:textId="77777777" w:rsidR="00AE63C2" w:rsidRDefault="00AE63C2" w:rsidP="003E4A09">
      <w:pPr>
        <w:widowControl w:val="0"/>
        <w:spacing w:after="0"/>
        <w:jc w:val="center"/>
        <w:rPr>
          <w:rFonts w:cs="Calibri"/>
          <w:b/>
          <w:bCs/>
          <w:i/>
          <w:sz w:val="32"/>
          <w:szCs w:val="32"/>
          <w:lang w:val="en-GB"/>
        </w:rPr>
      </w:pPr>
    </w:p>
    <w:p w14:paraId="33DE43AE" w14:textId="46DF4269" w:rsidR="003E4A09" w:rsidRPr="009601CA" w:rsidRDefault="003E4A09" w:rsidP="003E4A09">
      <w:pPr>
        <w:widowControl w:val="0"/>
        <w:spacing w:after="0"/>
        <w:jc w:val="center"/>
        <w:rPr>
          <w:rFonts w:cs="Calibri"/>
          <w:b/>
          <w:bCs/>
          <w:i/>
          <w:sz w:val="32"/>
          <w:szCs w:val="32"/>
          <w:lang w:val="en-GB"/>
        </w:rPr>
      </w:pPr>
      <w:r w:rsidRPr="009601CA">
        <w:rPr>
          <w:rFonts w:cs="Calibri"/>
          <w:b/>
          <w:bCs/>
          <w:i/>
          <w:sz w:val="32"/>
          <w:szCs w:val="32"/>
          <w:lang w:val="en-GB"/>
        </w:rPr>
        <w:t xml:space="preserve">Form affidavit to </w:t>
      </w:r>
      <w:r w:rsidR="00015E3F" w:rsidRPr="00015E3F">
        <w:rPr>
          <w:rFonts w:cs="Calibri"/>
          <w:b/>
          <w:bCs/>
          <w:i/>
          <w:sz w:val="32"/>
          <w:szCs w:val="32"/>
          <w:lang w:val="en-GB"/>
        </w:rPr>
        <w:t xml:space="preserve">basic </w:t>
      </w:r>
      <w:r w:rsidRPr="009601CA">
        <w:rPr>
          <w:rFonts w:cs="Calibri"/>
          <w:b/>
          <w:bCs/>
          <w:i/>
          <w:sz w:val="32"/>
          <w:szCs w:val="32"/>
          <w:lang w:val="en-GB"/>
        </w:rPr>
        <w:t>qualification</w:t>
      </w:r>
    </w:p>
    <w:p w14:paraId="7EDF6A67" w14:textId="77777777" w:rsidR="003E4A09" w:rsidRPr="009601CA" w:rsidRDefault="003E4A09" w:rsidP="003E4A09">
      <w:pPr>
        <w:widowControl w:val="0"/>
        <w:spacing w:before="120" w:after="120"/>
        <w:rPr>
          <w:b/>
          <w:bCs/>
          <w:lang w:val="en-GB"/>
        </w:rPr>
      </w:pPr>
      <w:r w:rsidRPr="009601CA">
        <w:rPr>
          <w:b/>
          <w:bCs/>
          <w:lang w:val="en-GB"/>
        </w:rPr>
        <w:t>Supplier: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262"/>
      </w:tblGrid>
      <w:tr w:rsidR="008D497B" w:rsidRPr="009601CA" w14:paraId="23B175B6" w14:textId="77777777" w:rsidTr="008D497B">
        <w:trPr>
          <w:trHeight w:val="543"/>
        </w:trPr>
        <w:tc>
          <w:tcPr>
            <w:tcW w:w="3794" w:type="dxa"/>
          </w:tcPr>
          <w:p w14:paraId="5FCBF962" w14:textId="3DEA38A8" w:rsidR="008D497B" w:rsidRPr="009601CA" w:rsidRDefault="008D497B" w:rsidP="00B454D9">
            <w:pPr>
              <w:widowControl w:val="0"/>
              <w:spacing w:before="120" w:after="120"/>
              <w:rPr>
                <w:lang w:val="en-GB"/>
              </w:rPr>
            </w:pPr>
            <w:bookmarkStart w:id="0" w:name="_Hlk169785284"/>
            <w:proofErr w:type="spellStart"/>
            <w:r w:rsidRPr="00595BEB">
              <w:rPr>
                <w:rFonts w:cstheme="minorHAnsi"/>
                <w:color w:val="000000" w:themeColor="text1"/>
              </w:rPr>
              <w:t>Title</w:t>
            </w:r>
            <w:proofErr w:type="spellEnd"/>
            <w:r w:rsidRPr="00595BEB">
              <w:rPr>
                <w:rFonts w:cstheme="minorHAnsi"/>
                <w:color w:val="000000" w:themeColor="text1"/>
              </w:rPr>
              <w:t xml:space="preserve"> of the Public </w:t>
            </w:r>
            <w:proofErr w:type="spellStart"/>
            <w:r w:rsidRPr="00595BEB">
              <w:rPr>
                <w:rFonts w:cstheme="minorHAnsi"/>
                <w:color w:val="000000" w:themeColor="text1"/>
              </w:rPr>
              <w:t>Contract</w:t>
            </w:r>
            <w:proofErr w:type="spellEnd"/>
          </w:p>
        </w:tc>
        <w:tc>
          <w:tcPr>
            <w:tcW w:w="5262" w:type="dxa"/>
          </w:tcPr>
          <w:p w14:paraId="2F2B1AD7" w14:textId="02635F5E" w:rsidR="008D497B" w:rsidRPr="00BE7E52" w:rsidRDefault="008D497B" w:rsidP="00B454D9">
            <w:pPr>
              <w:widowControl w:val="0"/>
              <w:spacing w:before="120" w:after="120"/>
              <w:rPr>
                <w:rFonts w:cs="Arial"/>
                <w:b/>
                <w:color w:val="00467A"/>
                <w:highlight w:val="yellow"/>
                <w:lang w:val="en-GB"/>
              </w:rPr>
            </w:pPr>
            <w:r w:rsidRPr="00BE7E52">
              <w:rPr>
                <w:rFonts w:cs="Arial"/>
                <w:b/>
                <w:color w:val="00467A"/>
                <w:lang w:val="en-GB"/>
              </w:rPr>
              <w:t>Supplies of material for AMS MILEA</w:t>
            </w:r>
            <w:r w:rsidR="00464A37">
              <w:rPr>
                <w:rFonts w:cs="Arial"/>
                <w:b/>
                <w:color w:val="00467A"/>
                <w:lang w:val="en-GB"/>
              </w:rPr>
              <w:t xml:space="preserve"> (2026 – 2027)</w:t>
            </w:r>
          </w:p>
        </w:tc>
      </w:tr>
      <w:tr w:rsidR="003E4A09" w:rsidRPr="009601CA" w14:paraId="06539568" w14:textId="77777777" w:rsidTr="008D497B">
        <w:trPr>
          <w:trHeight w:val="543"/>
        </w:trPr>
        <w:tc>
          <w:tcPr>
            <w:tcW w:w="3794" w:type="dxa"/>
          </w:tcPr>
          <w:p w14:paraId="5C01FFA1" w14:textId="77777777" w:rsidR="00B454D9" w:rsidRPr="009601CA" w:rsidRDefault="009601CA" w:rsidP="00B454D9">
            <w:pPr>
              <w:widowControl w:val="0"/>
              <w:spacing w:before="120" w:after="120"/>
              <w:rPr>
                <w:b/>
                <w:bCs/>
                <w:lang w:val="en-GB"/>
              </w:rPr>
            </w:pPr>
            <w:r w:rsidRPr="009601CA">
              <w:rPr>
                <w:lang w:val="en-GB"/>
              </w:rPr>
              <w:t xml:space="preserve">Business </w:t>
            </w:r>
            <w:r w:rsidR="003E4A09" w:rsidRPr="009601CA">
              <w:rPr>
                <w:lang w:val="en-GB"/>
              </w:rPr>
              <w:t>name:</w:t>
            </w:r>
          </w:p>
        </w:tc>
        <w:tc>
          <w:tcPr>
            <w:tcW w:w="5262" w:type="dxa"/>
          </w:tcPr>
          <w:p w14:paraId="70D3BF02" w14:textId="77777777" w:rsidR="00B454D9" w:rsidRPr="009601CA" w:rsidRDefault="009601CA" w:rsidP="00B454D9">
            <w:pPr>
              <w:widowControl w:val="0"/>
              <w:spacing w:before="120" w:after="120"/>
              <w:rPr>
                <w:lang w:val="en-GB"/>
              </w:rPr>
            </w:pPr>
            <w:r w:rsidRPr="009601CA">
              <w:rPr>
                <w:rFonts w:cs="Arial"/>
                <w:highlight w:val="yellow"/>
                <w:lang w:val="en-GB"/>
              </w:rPr>
              <w:t>……………………………………………………………………….</w:t>
            </w:r>
          </w:p>
        </w:tc>
      </w:tr>
      <w:tr w:rsidR="003E4A09" w:rsidRPr="009601CA" w14:paraId="14123196" w14:textId="77777777" w:rsidTr="008D497B">
        <w:tc>
          <w:tcPr>
            <w:tcW w:w="3794" w:type="dxa"/>
          </w:tcPr>
          <w:p w14:paraId="4F977CFD" w14:textId="77777777" w:rsidR="003E4A09" w:rsidRPr="009601CA" w:rsidRDefault="009601CA" w:rsidP="00A85E84">
            <w:pPr>
              <w:widowControl w:val="0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Registered</w:t>
            </w:r>
            <w:r w:rsidR="003E4A09" w:rsidRPr="009601CA">
              <w:rPr>
                <w:lang w:val="en-GB"/>
              </w:rPr>
              <w:t xml:space="preserve"> address:</w:t>
            </w:r>
          </w:p>
        </w:tc>
        <w:tc>
          <w:tcPr>
            <w:tcW w:w="5262" w:type="dxa"/>
          </w:tcPr>
          <w:p w14:paraId="5F2B1D5C" w14:textId="77777777" w:rsidR="003E4A09" w:rsidRPr="009601CA" w:rsidRDefault="009601CA" w:rsidP="00A85E84">
            <w:pPr>
              <w:widowControl w:val="0"/>
              <w:spacing w:before="120" w:after="120"/>
              <w:rPr>
                <w:lang w:val="en-GB"/>
              </w:rPr>
            </w:pPr>
            <w:r w:rsidRPr="009601CA">
              <w:rPr>
                <w:rFonts w:cs="Arial"/>
                <w:highlight w:val="yellow"/>
                <w:lang w:val="en-GB"/>
              </w:rPr>
              <w:t>……………………………………………………………………….</w:t>
            </w:r>
          </w:p>
        </w:tc>
      </w:tr>
      <w:tr w:rsidR="003E4A09" w:rsidRPr="009601CA" w14:paraId="5E94F893" w14:textId="77777777" w:rsidTr="008D497B">
        <w:tc>
          <w:tcPr>
            <w:tcW w:w="3794" w:type="dxa"/>
          </w:tcPr>
          <w:p w14:paraId="1904FA4C" w14:textId="6F4C5CA5" w:rsidR="003E4A09" w:rsidRPr="009601CA" w:rsidRDefault="00BE7E52" w:rsidP="00A85E84">
            <w:pPr>
              <w:widowControl w:val="0"/>
              <w:spacing w:before="120" w:after="120"/>
              <w:rPr>
                <w:lang w:val="en-GB"/>
              </w:rPr>
            </w:pPr>
            <w:r w:rsidRPr="00595BEB">
              <w:rPr>
                <w:rFonts w:cstheme="minorHAnsi"/>
                <w:bCs/>
                <w:color w:val="000000" w:themeColor="text1"/>
                <w:lang w:val="en-GB"/>
              </w:rPr>
              <w:t>ID No. / TAX ID No.</w:t>
            </w:r>
          </w:p>
        </w:tc>
        <w:tc>
          <w:tcPr>
            <w:tcW w:w="5262" w:type="dxa"/>
          </w:tcPr>
          <w:p w14:paraId="6F02EEED" w14:textId="77777777" w:rsidR="003E4A09" w:rsidRPr="009601CA" w:rsidRDefault="009601CA" w:rsidP="00A85E84">
            <w:pPr>
              <w:widowControl w:val="0"/>
              <w:spacing w:before="120" w:after="120"/>
              <w:rPr>
                <w:lang w:val="en-GB"/>
              </w:rPr>
            </w:pPr>
            <w:r w:rsidRPr="009601CA">
              <w:rPr>
                <w:rFonts w:cs="Arial"/>
                <w:highlight w:val="yellow"/>
                <w:lang w:val="en-GB"/>
              </w:rPr>
              <w:t>……………………………………………………………………….</w:t>
            </w:r>
          </w:p>
        </w:tc>
      </w:tr>
      <w:tr w:rsidR="003E4A09" w:rsidRPr="009601CA" w14:paraId="3928301B" w14:textId="77777777" w:rsidTr="008D497B">
        <w:tc>
          <w:tcPr>
            <w:tcW w:w="3794" w:type="dxa"/>
          </w:tcPr>
          <w:p w14:paraId="58564926" w14:textId="77777777" w:rsidR="003E4A09" w:rsidRPr="009601CA" w:rsidRDefault="003E4A09" w:rsidP="00A85E84">
            <w:pPr>
              <w:widowControl w:val="0"/>
              <w:spacing w:before="120" w:after="120"/>
              <w:rPr>
                <w:lang w:val="en-GB"/>
              </w:rPr>
            </w:pPr>
            <w:r w:rsidRPr="009601CA">
              <w:rPr>
                <w:rFonts w:cs="Arial"/>
                <w:lang w:val="en-GB"/>
              </w:rPr>
              <w:t>Statutory body or auth. representative</w:t>
            </w:r>
          </w:p>
        </w:tc>
        <w:tc>
          <w:tcPr>
            <w:tcW w:w="5262" w:type="dxa"/>
          </w:tcPr>
          <w:p w14:paraId="01411751" w14:textId="77777777" w:rsidR="003E4A09" w:rsidRPr="009601CA" w:rsidRDefault="003E4A09" w:rsidP="00A85E84">
            <w:pPr>
              <w:widowControl w:val="0"/>
              <w:spacing w:before="120" w:after="120"/>
              <w:rPr>
                <w:lang w:val="en-GB"/>
              </w:rPr>
            </w:pPr>
            <w:r w:rsidRPr="009601CA">
              <w:rPr>
                <w:rFonts w:cs="Arial"/>
                <w:highlight w:val="yellow"/>
                <w:lang w:val="en-GB"/>
              </w:rPr>
              <w:t>……………………………………………………………………….</w:t>
            </w:r>
          </w:p>
        </w:tc>
      </w:tr>
    </w:tbl>
    <w:p w14:paraId="55CA3FB2" w14:textId="77777777" w:rsidR="00FD4DD7" w:rsidRDefault="00FD4DD7" w:rsidP="009E4295">
      <w:pPr>
        <w:spacing w:after="0"/>
        <w:rPr>
          <w:rFonts w:cs="Arial"/>
          <w:lang w:val="en-GB"/>
        </w:rPr>
      </w:pPr>
    </w:p>
    <w:bookmarkEnd w:id="0"/>
    <w:p w14:paraId="6F926B51" w14:textId="74D39966" w:rsidR="009C2027" w:rsidRPr="009C2027" w:rsidRDefault="00FD4DD7" w:rsidP="009C2027">
      <w:pPr>
        <w:rPr>
          <w:rFonts w:cs="Arial"/>
          <w:lang w:val="en-GB"/>
        </w:rPr>
      </w:pPr>
      <w:r w:rsidRPr="009601CA">
        <w:rPr>
          <w:rFonts w:cs="Arial"/>
          <w:lang w:val="en-GB"/>
        </w:rPr>
        <w:t xml:space="preserve">I, the undersigned, </w:t>
      </w:r>
      <w:r w:rsidR="009601CA">
        <w:rPr>
          <w:rFonts w:cs="Arial"/>
          <w:lang w:val="en-GB"/>
        </w:rPr>
        <w:t xml:space="preserve">acting </w:t>
      </w:r>
      <w:r w:rsidRPr="009601CA">
        <w:rPr>
          <w:rFonts w:cs="Arial"/>
          <w:lang w:val="en-GB"/>
        </w:rPr>
        <w:t xml:space="preserve">in the capacity of the person who is authorized to act on behalf of the </w:t>
      </w:r>
      <w:r w:rsidR="006D79CD" w:rsidRPr="009601CA">
        <w:rPr>
          <w:rFonts w:cs="Arial"/>
          <w:lang w:val="en-GB"/>
        </w:rPr>
        <w:t>supplier</w:t>
      </w:r>
      <w:r w:rsidRPr="009601CA">
        <w:rPr>
          <w:rFonts w:cs="Arial"/>
          <w:lang w:val="en-GB"/>
        </w:rPr>
        <w:t xml:space="preserve"> and sign in his name, hereby solemnly </w:t>
      </w:r>
      <w:r w:rsidR="008A68DA" w:rsidRPr="009601CA">
        <w:rPr>
          <w:rFonts w:cs="Arial"/>
          <w:lang w:val="en-GB"/>
        </w:rPr>
        <w:t>confirm that</w:t>
      </w:r>
      <w:r w:rsidR="009C2027">
        <w:rPr>
          <w:rFonts w:cs="Arial"/>
          <w:lang w:val="en-GB"/>
        </w:rPr>
        <w:t xml:space="preserve"> the supplier </w:t>
      </w:r>
      <w:r w:rsidR="009C2027" w:rsidRPr="009C2027">
        <w:rPr>
          <w:rFonts w:cs="Arial"/>
          <w:lang w:val="en-GB"/>
        </w:rPr>
        <w:t xml:space="preserve">meets </w:t>
      </w:r>
      <w:r w:rsidR="009C2027">
        <w:rPr>
          <w:rFonts w:cs="Arial"/>
          <w:lang w:val="en-GB"/>
        </w:rPr>
        <w:t>the following</w:t>
      </w:r>
      <w:r w:rsidR="009C2027" w:rsidRPr="009C2027">
        <w:rPr>
          <w:rFonts w:cs="Arial"/>
          <w:lang w:val="en-GB"/>
        </w:rPr>
        <w:t>:</w:t>
      </w:r>
    </w:p>
    <w:p w14:paraId="324418F2" w14:textId="64F06795" w:rsidR="009C2027" w:rsidRPr="008D497B" w:rsidRDefault="009C2027" w:rsidP="009C2027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  <w:lang w:val="en-GB"/>
        </w:rPr>
      </w:pPr>
      <w:r w:rsidRPr="008D497B">
        <w:rPr>
          <w:rFonts w:cs="Arial"/>
          <w:b/>
          <w:bCs/>
          <w:sz w:val="24"/>
          <w:szCs w:val="24"/>
          <w:lang w:val="en-GB"/>
        </w:rPr>
        <w:t>Basic qualification</w:t>
      </w:r>
      <w:r w:rsidRPr="008D497B">
        <w:rPr>
          <w:rFonts w:cs="Arial"/>
          <w:sz w:val="24"/>
          <w:szCs w:val="24"/>
          <w:lang w:val="en-GB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78"/>
      </w:tblGrid>
      <w:tr w:rsidR="00625519" w:rsidRPr="009601CA" w14:paraId="21DE579F" w14:textId="77777777" w:rsidTr="00CC316A">
        <w:tc>
          <w:tcPr>
            <w:tcW w:w="534" w:type="dxa"/>
          </w:tcPr>
          <w:p w14:paraId="179A15B5" w14:textId="73A1FB75" w:rsidR="00625519" w:rsidRPr="009601CA" w:rsidRDefault="00625519" w:rsidP="00625519">
            <w:pPr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>a)</w:t>
            </w:r>
          </w:p>
          <w:p w14:paraId="0D3F7522" w14:textId="77777777" w:rsidR="00625519" w:rsidRPr="009601CA" w:rsidRDefault="00625519" w:rsidP="00625519">
            <w:pPr>
              <w:rPr>
                <w:rFonts w:cs="Arial"/>
                <w:lang w:val="en-GB"/>
              </w:rPr>
            </w:pPr>
          </w:p>
        </w:tc>
        <w:tc>
          <w:tcPr>
            <w:tcW w:w="8678" w:type="dxa"/>
          </w:tcPr>
          <w:p w14:paraId="567D628E" w14:textId="77777777" w:rsidR="00625519" w:rsidRPr="009601CA" w:rsidRDefault="00625519" w:rsidP="008852A5">
            <w:pPr>
              <w:jc w:val="both"/>
              <w:rPr>
                <w:rFonts w:cs="Arial"/>
                <w:bCs/>
                <w:lang w:val="en-GB"/>
              </w:rPr>
            </w:pPr>
            <w:r w:rsidRPr="009601CA">
              <w:rPr>
                <w:rFonts w:cs="Arial"/>
                <w:bCs/>
                <w:lang w:val="en-GB"/>
              </w:rPr>
              <w:t xml:space="preserve">The supplier was not convicted by final judgement in the country of its registered </w:t>
            </w:r>
            <w:r w:rsidR="00F12046" w:rsidRPr="009601CA">
              <w:rPr>
                <w:rFonts w:cs="Arial"/>
                <w:bCs/>
                <w:lang w:val="en-GB"/>
              </w:rPr>
              <w:t>office</w:t>
            </w:r>
            <w:r w:rsidRPr="009601CA">
              <w:rPr>
                <w:rFonts w:cs="Arial"/>
                <w:bCs/>
                <w:lang w:val="en-GB"/>
              </w:rPr>
              <w:t xml:space="preserve"> of a crime specified in Annex No. 3 to </w:t>
            </w:r>
            <w:r w:rsidR="00F12046" w:rsidRPr="009601CA">
              <w:rPr>
                <w:rFonts w:cs="Arial"/>
                <w:bCs/>
                <w:lang w:val="en-GB"/>
              </w:rPr>
              <w:t xml:space="preserve">PPA </w:t>
            </w:r>
            <w:r w:rsidRPr="009601CA">
              <w:rPr>
                <w:rFonts w:cs="Arial"/>
                <w:bCs/>
                <w:lang w:val="en-GB"/>
              </w:rPr>
              <w:t>or another similar crime pursuant to the law of the country of its registered office in the past five years preceding the commencement of the procurement procedure.</w:t>
            </w:r>
          </w:p>
          <w:p w14:paraId="233ACD2F" w14:textId="77777777" w:rsidR="00625519" w:rsidRPr="009601CA" w:rsidRDefault="00625519" w:rsidP="008852A5">
            <w:pPr>
              <w:jc w:val="both"/>
              <w:rPr>
                <w:rFonts w:cs="Arial"/>
                <w:lang w:val="en-GB"/>
              </w:rPr>
            </w:pPr>
          </w:p>
        </w:tc>
      </w:tr>
      <w:tr w:rsidR="00892A06" w:rsidRPr="009601CA" w14:paraId="342175BE" w14:textId="77777777" w:rsidTr="00CC316A">
        <w:tc>
          <w:tcPr>
            <w:tcW w:w="534" w:type="dxa"/>
          </w:tcPr>
          <w:p w14:paraId="69D4368A" w14:textId="75443543" w:rsidR="00892A06" w:rsidRPr="009601CA" w:rsidRDefault="00892A06" w:rsidP="00625519">
            <w:pPr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>b)</w:t>
            </w:r>
          </w:p>
        </w:tc>
        <w:tc>
          <w:tcPr>
            <w:tcW w:w="8678" w:type="dxa"/>
          </w:tcPr>
          <w:p w14:paraId="0D3D4CCA" w14:textId="77777777" w:rsidR="008A68DA" w:rsidRPr="009601CA" w:rsidRDefault="00892A06" w:rsidP="008852A5">
            <w:pPr>
              <w:jc w:val="both"/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>The supplier has no</w:t>
            </w:r>
            <w:r w:rsidR="00DD5665" w:rsidRPr="009601CA">
              <w:rPr>
                <w:rFonts w:cs="Arial"/>
                <w:lang w:val="en-GB"/>
              </w:rPr>
              <w:t xml:space="preserve"> payable</w:t>
            </w:r>
            <w:r w:rsidRPr="009601CA">
              <w:rPr>
                <w:rFonts w:cs="Arial"/>
                <w:lang w:val="en-GB"/>
              </w:rPr>
              <w:t xml:space="preserve"> tax arrears in the tax records</w:t>
            </w:r>
            <w:r w:rsidR="00F12046" w:rsidRPr="009601CA">
              <w:rPr>
                <w:rFonts w:cs="Arial"/>
                <w:lang w:val="en-GB"/>
              </w:rPr>
              <w:t>,</w:t>
            </w:r>
            <w:r w:rsidRPr="009601CA">
              <w:rPr>
                <w:rFonts w:cs="Arial"/>
                <w:lang w:val="en-GB"/>
              </w:rPr>
              <w:t xml:space="preserve"> both in the </w:t>
            </w:r>
            <w:r w:rsidR="00EF5D23" w:rsidRPr="009601CA">
              <w:rPr>
                <w:rFonts w:cs="Arial"/>
                <w:lang w:val="en-GB"/>
              </w:rPr>
              <w:t>Czech Republic</w:t>
            </w:r>
            <w:r w:rsidRPr="009601CA">
              <w:rPr>
                <w:rFonts w:cs="Arial"/>
                <w:lang w:val="en-GB"/>
              </w:rPr>
              <w:t xml:space="preserve"> and in the country of its registered office</w:t>
            </w:r>
            <w:r w:rsidR="004E6101" w:rsidRPr="009601CA">
              <w:rPr>
                <w:rFonts w:cs="Arial"/>
                <w:lang w:val="en-GB"/>
              </w:rPr>
              <w:t>.</w:t>
            </w:r>
          </w:p>
          <w:p w14:paraId="03B79024" w14:textId="77777777" w:rsidR="00BF1558" w:rsidRPr="009601CA" w:rsidRDefault="00BF1558" w:rsidP="008852A5">
            <w:pPr>
              <w:jc w:val="both"/>
              <w:rPr>
                <w:rFonts w:cs="Arial"/>
                <w:lang w:val="en-GB"/>
              </w:rPr>
            </w:pPr>
          </w:p>
        </w:tc>
      </w:tr>
      <w:tr w:rsidR="00892A06" w:rsidRPr="009601CA" w14:paraId="11562453" w14:textId="77777777" w:rsidTr="00CC316A">
        <w:tc>
          <w:tcPr>
            <w:tcW w:w="534" w:type="dxa"/>
          </w:tcPr>
          <w:p w14:paraId="02AECA80" w14:textId="564929A4" w:rsidR="00892A06" w:rsidRPr="009601CA" w:rsidRDefault="00892A06" w:rsidP="00892A06">
            <w:pPr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>c)</w:t>
            </w:r>
            <w:r w:rsidR="001C3E34" w:rsidRPr="009601CA">
              <w:rPr>
                <w:rFonts w:cs="Arial"/>
                <w:lang w:val="en-GB"/>
              </w:rPr>
              <w:t xml:space="preserve"> </w:t>
            </w:r>
          </w:p>
          <w:p w14:paraId="069B4720" w14:textId="77777777" w:rsidR="00892A06" w:rsidRPr="009601CA" w:rsidRDefault="00892A06">
            <w:pPr>
              <w:rPr>
                <w:rFonts w:cs="Arial"/>
                <w:lang w:val="en-GB"/>
              </w:rPr>
            </w:pPr>
          </w:p>
        </w:tc>
        <w:tc>
          <w:tcPr>
            <w:tcW w:w="8678" w:type="dxa"/>
          </w:tcPr>
          <w:p w14:paraId="0E045A11" w14:textId="77777777" w:rsidR="00892A06" w:rsidRPr="009601CA" w:rsidRDefault="00892A06" w:rsidP="008852A5">
            <w:pPr>
              <w:jc w:val="both"/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 xml:space="preserve">The supplier is not in arrears with public health insurance contributions and with any penalties for non-payment of such contributions, both in the </w:t>
            </w:r>
            <w:r w:rsidR="00EF5D23" w:rsidRPr="009601CA">
              <w:rPr>
                <w:rFonts w:cs="Arial"/>
                <w:lang w:val="en-GB"/>
              </w:rPr>
              <w:t>Czech Republic</w:t>
            </w:r>
            <w:r w:rsidRPr="009601CA">
              <w:rPr>
                <w:rFonts w:cs="Arial"/>
                <w:lang w:val="en-GB"/>
              </w:rPr>
              <w:t xml:space="preserve"> and in the country of its registered office</w:t>
            </w:r>
            <w:r w:rsidR="00F12046" w:rsidRPr="009601CA">
              <w:rPr>
                <w:rFonts w:cs="Arial"/>
                <w:lang w:val="en-GB"/>
              </w:rPr>
              <w:t>.</w:t>
            </w:r>
          </w:p>
          <w:p w14:paraId="57FFF490" w14:textId="77777777" w:rsidR="008A68DA" w:rsidRPr="009601CA" w:rsidRDefault="008A68DA" w:rsidP="008852A5">
            <w:pPr>
              <w:jc w:val="both"/>
              <w:rPr>
                <w:rFonts w:cs="Arial"/>
                <w:lang w:val="en-GB"/>
              </w:rPr>
            </w:pPr>
          </w:p>
        </w:tc>
      </w:tr>
      <w:tr w:rsidR="00625519" w:rsidRPr="009601CA" w14:paraId="6E6F5C3C" w14:textId="77777777" w:rsidTr="00CC316A">
        <w:tc>
          <w:tcPr>
            <w:tcW w:w="534" w:type="dxa"/>
          </w:tcPr>
          <w:p w14:paraId="30BC4471" w14:textId="5E94104F" w:rsidR="00625519" w:rsidRPr="009601CA" w:rsidRDefault="00625519" w:rsidP="00625519">
            <w:pPr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>d)</w:t>
            </w:r>
            <w:r w:rsidRPr="009601CA">
              <w:rPr>
                <w:rFonts w:cs="Arial"/>
                <w:lang w:val="en-GB"/>
              </w:rPr>
              <w:tab/>
            </w:r>
          </w:p>
          <w:p w14:paraId="419A770C" w14:textId="77777777" w:rsidR="00625519" w:rsidRPr="009601CA" w:rsidRDefault="00625519" w:rsidP="00892A06">
            <w:pPr>
              <w:rPr>
                <w:rFonts w:cs="Arial"/>
                <w:lang w:val="en-GB"/>
              </w:rPr>
            </w:pPr>
          </w:p>
        </w:tc>
        <w:tc>
          <w:tcPr>
            <w:tcW w:w="8678" w:type="dxa"/>
          </w:tcPr>
          <w:p w14:paraId="5DD5D296" w14:textId="77777777" w:rsidR="00625519" w:rsidRPr="009601CA" w:rsidRDefault="00625519" w:rsidP="008852A5">
            <w:pPr>
              <w:jc w:val="both"/>
              <w:rPr>
                <w:lang w:val="en-GB"/>
              </w:rPr>
            </w:pPr>
            <w:r w:rsidRPr="009601CA">
              <w:rPr>
                <w:rFonts w:cs="Arial"/>
                <w:lang w:val="en-GB"/>
              </w:rPr>
              <w:t>The supplier has no</w:t>
            </w:r>
            <w:r w:rsidRPr="009601CA">
              <w:rPr>
                <w:lang w:val="en-GB"/>
              </w:rPr>
              <w:t xml:space="preserve"> outstanding arrears in respect of payments and penalties of social security contributions and contribution to the national employment policy</w:t>
            </w:r>
            <w:r w:rsidR="00F12046" w:rsidRPr="009601CA">
              <w:rPr>
                <w:lang w:val="en-GB"/>
              </w:rPr>
              <w:t>,</w:t>
            </w:r>
            <w:r w:rsidRPr="009601CA">
              <w:rPr>
                <w:lang w:val="en-GB"/>
              </w:rPr>
              <w:t xml:space="preserve"> </w:t>
            </w:r>
            <w:r w:rsidR="00F12046" w:rsidRPr="009601CA">
              <w:rPr>
                <w:rFonts w:cs="Arial"/>
                <w:lang w:val="en-GB"/>
              </w:rPr>
              <w:t>both in the Czech Republic and in the country of its registered office</w:t>
            </w:r>
            <w:r w:rsidRPr="009601CA">
              <w:rPr>
                <w:lang w:val="en-GB"/>
              </w:rPr>
              <w:t>.</w:t>
            </w:r>
          </w:p>
          <w:p w14:paraId="6EFCAC6A" w14:textId="77777777" w:rsidR="00625519" w:rsidRPr="009601CA" w:rsidRDefault="00625519" w:rsidP="008852A5">
            <w:pPr>
              <w:jc w:val="both"/>
              <w:rPr>
                <w:rFonts w:cs="Arial"/>
                <w:lang w:val="en-GB"/>
              </w:rPr>
            </w:pPr>
          </w:p>
        </w:tc>
      </w:tr>
      <w:tr w:rsidR="00892A06" w:rsidRPr="009601CA" w14:paraId="743F2266" w14:textId="77777777" w:rsidTr="00CC316A">
        <w:tc>
          <w:tcPr>
            <w:tcW w:w="534" w:type="dxa"/>
          </w:tcPr>
          <w:p w14:paraId="41326235" w14:textId="23ADED3E" w:rsidR="00892A06" w:rsidRPr="009601CA" w:rsidRDefault="00892A06" w:rsidP="00892A06">
            <w:pPr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>e)</w:t>
            </w:r>
            <w:r w:rsidRPr="009601CA">
              <w:rPr>
                <w:rFonts w:cs="Arial"/>
                <w:lang w:val="en-GB"/>
              </w:rPr>
              <w:tab/>
            </w:r>
          </w:p>
          <w:p w14:paraId="44EE6132" w14:textId="77777777" w:rsidR="00892A06" w:rsidRPr="009601CA" w:rsidRDefault="00892A06">
            <w:pPr>
              <w:rPr>
                <w:rFonts w:cs="Arial"/>
                <w:lang w:val="en-GB"/>
              </w:rPr>
            </w:pPr>
          </w:p>
        </w:tc>
        <w:tc>
          <w:tcPr>
            <w:tcW w:w="8678" w:type="dxa"/>
          </w:tcPr>
          <w:p w14:paraId="0813A21F" w14:textId="77777777" w:rsidR="00892A06" w:rsidRPr="009601CA" w:rsidRDefault="00892A06" w:rsidP="008852A5">
            <w:pPr>
              <w:jc w:val="both"/>
              <w:rPr>
                <w:rFonts w:cs="Arial"/>
                <w:lang w:val="en-GB"/>
              </w:rPr>
            </w:pPr>
            <w:r w:rsidRPr="009601CA">
              <w:rPr>
                <w:rFonts w:cs="Arial"/>
                <w:lang w:val="en-GB"/>
              </w:rPr>
              <w:t xml:space="preserve">The supplier is </w:t>
            </w:r>
            <w:r w:rsidR="00625519" w:rsidRPr="009601CA">
              <w:rPr>
                <w:rFonts w:cs="Arial"/>
                <w:lang w:val="en-GB"/>
              </w:rPr>
              <w:t xml:space="preserve">not </w:t>
            </w:r>
            <w:r w:rsidR="00BF1558" w:rsidRPr="009601CA">
              <w:rPr>
                <w:rFonts w:cs="Arial"/>
                <w:lang w:val="en-GB"/>
              </w:rPr>
              <w:t>and ha</w:t>
            </w:r>
            <w:r w:rsidR="00625519" w:rsidRPr="009601CA">
              <w:rPr>
                <w:rFonts w:cs="Arial"/>
                <w:lang w:val="en-GB"/>
              </w:rPr>
              <w:t>s</w:t>
            </w:r>
            <w:r w:rsidR="00BF1558" w:rsidRPr="009601CA">
              <w:rPr>
                <w:rFonts w:cs="Arial"/>
                <w:lang w:val="en-GB"/>
              </w:rPr>
              <w:t xml:space="preserve"> </w:t>
            </w:r>
            <w:r w:rsidRPr="009601CA">
              <w:rPr>
                <w:rFonts w:cs="Arial"/>
                <w:lang w:val="en-GB"/>
              </w:rPr>
              <w:t xml:space="preserve">not </w:t>
            </w:r>
            <w:r w:rsidR="00BF1558" w:rsidRPr="009601CA">
              <w:rPr>
                <w:rFonts w:cs="Arial"/>
                <w:lang w:val="en-GB"/>
              </w:rPr>
              <w:t xml:space="preserve">been </w:t>
            </w:r>
            <w:r w:rsidRPr="009601CA">
              <w:rPr>
                <w:rFonts w:cs="Arial"/>
                <w:lang w:val="en-GB"/>
              </w:rPr>
              <w:t>in liquidation</w:t>
            </w:r>
            <w:r w:rsidR="00BF1558" w:rsidRPr="009601CA">
              <w:rPr>
                <w:rFonts w:cs="Arial"/>
                <w:lang w:val="en-GB"/>
              </w:rPr>
              <w:t>; its assets have not been subjected to adjudication of bankruptcy; a receivership according to other law has not been ordered against or in similar situation pursuant to the legal code in the supplier’s country of its registered office.</w:t>
            </w:r>
          </w:p>
        </w:tc>
      </w:tr>
    </w:tbl>
    <w:p w14:paraId="410073A7" w14:textId="337C3EEC" w:rsidR="009C2027" w:rsidRDefault="009C2027" w:rsidP="0079094F">
      <w:pPr>
        <w:spacing w:after="0"/>
        <w:rPr>
          <w:rFonts w:cs="Arial"/>
          <w:lang w:val="en-GB"/>
        </w:rPr>
      </w:pPr>
    </w:p>
    <w:p w14:paraId="0BCD45F5" w14:textId="7A4A205A" w:rsidR="00E60F30" w:rsidRPr="00103720" w:rsidRDefault="00E60F30" w:rsidP="00E60F30">
      <w:pPr>
        <w:widowControl w:val="0"/>
        <w:spacing w:after="0" w:line="264" w:lineRule="auto"/>
        <w:jc w:val="both"/>
        <w:rPr>
          <w:rFonts w:eastAsia="Times New Roman" w:cstheme="minorHAnsi"/>
        </w:rPr>
      </w:pPr>
      <w:r w:rsidRPr="00103720">
        <w:rPr>
          <w:rFonts w:eastAsia="Times New Roman" w:cstheme="minorHAnsi"/>
        </w:rPr>
        <w:t xml:space="preserve">If the </w:t>
      </w:r>
      <w:proofErr w:type="spellStart"/>
      <w:r w:rsidRPr="00103720">
        <w:rPr>
          <w:rFonts w:eastAsia="Times New Roman" w:cstheme="minorHAnsi"/>
        </w:rPr>
        <w:t>Supplier</w:t>
      </w:r>
      <w:proofErr w:type="spellEnd"/>
      <w:r w:rsidRPr="00103720">
        <w:rPr>
          <w:rFonts w:eastAsia="Times New Roman" w:cstheme="minorHAnsi"/>
        </w:rPr>
        <w:t xml:space="preserve"> </w:t>
      </w:r>
      <w:proofErr w:type="spellStart"/>
      <w:r w:rsidRPr="00103720">
        <w:rPr>
          <w:rFonts w:eastAsia="Times New Roman" w:cstheme="minorHAnsi"/>
        </w:rPr>
        <w:t>is</w:t>
      </w:r>
      <w:proofErr w:type="spellEnd"/>
      <w:r w:rsidRPr="00103720">
        <w:rPr>
          <w:rFonts w:eastAsia="Times New Roman" w:cstheme="minorHAnsi"/>
        </w:rPr>
        <w:t xml:space="preserve"> a </w:t>
      </w:r>
      <w:proofErr w:type="spellStart"/>
      <w:r w:rsidRPr="00103720">
        <w:rPr>
          <w:rFonts w:eastAsia="Times New Roman" w:cstheme="minorHAnsi"/>
        </w:rPr>
        <w:t>legal</w:t>
      </w:r>
      <w:proofErr w:type="spellEnd"/>
      <w:r w:rsidRPr="00103720">
        <w:rPr>
          <w:rFonts w:eastAsia="Times New Roman" w:cstheme="minorHAnsi"/>
        </w:rPr>
        <w:t xml:space="preserve"> entity, the </w:t>
      </w:r>
      <w:proofErr w:type="spellStart"/>
      <w:r w:rsidRPr="00103720">
        <w:rPr>
          <w:rFonts w:eastAsia="Times New Roman" w:cstheme="minorHAnsi"/>
        </w:rPr>
        <w:t>conditions</w:t>
      </w:r>
      <w:proofErr w:type="spellEnd"/>
      <w:r w:rsidRPr="00103720">
        <w:rPr>
          <w:rFonts w:eastAsia="Times New Roman" w:cstheme="minorHAnsi"/>
        </w:rPr>
        <w:t xml:space="preserve"> </w:t>
      </w:r>
      <w:proofErr w:type="spellStart"/>
      <w:r w:rsidR="008852A5" w:rsidRPr="008852A5">
        <w:rPr>
          <w:rFonts w:eastAsia="Times New Roman" w:cstheme="minorHAnsi"/>
        </w:rPr>
        <w:t>according</w:t>
      </w:r>
      <w:proofErr w:type="spellEnd"/>
      <w:r w:rsidR="008852A5" w:rsidRPr="008852A5">
        <w:rPr>
          <w:rFonts w:eastAsia="Times New Roman" w:cstheme="minorHAnsi"/>
        </w:rPr>
        <w:t xml:space="preserve"> to </w:t>
      </w:r>
      <w:proofErr w:type="spellStart"/>
      <w:r w:rsidR="008852A5" w:rsidRPr="008852A5">
        <w:rPr>
          <w:rFonts w:eastAsia="Times New Roman" w:cstheme="minorHAnsi"/>
        </w:rPr>
        <w:t>letter</w:t>
      </w:r>
      <w:proofErr w:type="spellEnd"/>
      <w:r w:rsidR="008852A5" w:rsidRPr="008852A5">
        <w:rPr>
          <w:rFonts w:eastAsia="Times New Roman" w:cstheme="minorHAnsi"/>
        </w:rPr>
        <w:t xml:space="preserve"> a) </w:t>
      </w:r>
      <w:proofErr w:type="spellStart"/>
      <w:r w:rsidRPr="00103720">
        <w:rPr>
          <w:rFonts w:eastAsia="Times New Roman" w:cstheme="minorHAnsi"/>
        </w:rPr>
        <w:t>shall</w:t>
      </w:r>
      <w:proofErr w:type="spellEnd"/>
      <w:r w:rsidRPr="00103720">
        <w:rPr>
          <w:rFonts w:eastAsia="Times New Roman" w:cstheme="minorHAnsi"/>
        </w:rPr>
        <w:t xml:space="preserve"> </w:t>
      </w:r>
      <w:proofErr w:type="spellStart"/>
      <w:r w:rsidRPr="00103720">
        <w:rPr>
          <w:rFonts w:eastAsia="Times New Roman" w:cstheme="minorHAnsi"/>
        </w:rPr>
        <w:t>be</w:t>
      </w:r>
      <w:proofErr w:type="spellEnd"/>
      <w:r w:rsidRPr="00103720">
        <w:rPr>
          <w:rFonts w:eastAsia="Times New Roman" w:cstheme="minorHAnsi"/>
        </w:rPr>
        <w:t xml:space="preserve"> met by</w:t>
      </w:r>
      <w:r>
        <w:rPr>
          <w:rFonts w:eastAsia="Times New Roman" w:cstheme="minorHAnsi"/>
        </w:rPr>
        <w:t xml:space="preserve"> </w:t>
      </w:r>
      <w:r w:rsidRPr="00103720">
        <w:rPr>
          <w:rFonts w:eastAsia="Times New Roman" w:cstheme="minorHAnsi"/>
        </w:rPr>
        <w:t>the legal entity and each member of its statutory body. Should a legal entity be a member of the</w:t>
      </w:r>
      <w:r>
        <w:rPr>
          <w:rFonts w:eastAsia="Times New Roman" w:cstheme="minorHAnsi"/>
        </w:rPr>
        <w:t xml:space="preserve"> </w:t>
      </w:r>
      <w:proofErr w:type="spellStart"/>
      <w:r w:rsidRPr="00103720">
        <w:rPr>
          <w:rFonts w:eastAsia="Times New Roman" w:cstheme="minorHAnsi"/>
        </w:rPr>
        <w:t>Supplier’s</w:t>
      </w:r>
      <w:proofErr w:type="spellEnd"/>
      <w:r w:rsidRPr="00103720">
        <w:rPr>
          <w:rFonts w:eastAsia="Times New Roman" w:cstheme="minorHAnsi"/>
        </w:rPr>
        <w:t xml:space="preserve"> </w:t>
      </w:r>
      <w:proofErr w:type="spellStart"/>
      <w:r w:rsidRPr="00103720">
        <w:rPr>
          <w:rFonts w:eastAsia="Times New Roman" w:cstheme="minorHAnsi"/>
        </w:rPr>
        <w:t>statutory</w:t>
      </w:r>
      <w:proofErr w:type="spellEnd"/>
      <w:r w:rsidRPr="00103720">
        <w:rPr>
          <w:rFonts w:eastAsia="Times New Roman" w:cstheme="minorHAnsi"/>
        </w:rPr>
        <w:t xml:space="preserve"> body, the </w:t>
      </w:r>
      <w:proofErr w:type="spellStart"/>
      <w:r w:rsidRPr="00103720">
        <w:rPr>
          <w:rFonts w:eastAsia="Times New Roman" w:cstheme="minorHAnsi"/>
        </w:rPr>
        <w:t>conditions</w:t>
      </w:r>
      <w:proofErr w:type="spellEnd"/>
      <w:r w:rsidRPr="00103720">
        <w:rPr>
          <w:rFonts w:eastAsia="Times New Roman" w:cstheme="minorHAnsi"/>
        </w:rPr>
        <w:t xml:space="preserve"> </w:t>
      </w:r>
      <w:proofErr w:type="spellStart"/>
      <w:r w:rsidR="008852A5" w:rsidRPr="008852A5">
        <w:rPr>
          <w:rFonts w:eastAsia="Times New Roman" w:cstheme="minorHAnsi"/>
        </w:rPr>
        <w:t>according</w:t>
      </w:r>
      <w:proofErr w:type="spellEnd"/>
      <w:r w:rsidR="008852A5" w:rsidRPr="008852A5">
        <w:rPr>
          <w:rFonts w:eastAsia="Times New Roman" w:cstheme="minorHAnsi"/>
        </w:rPr>
        <w:t xml:space="preserve"> to </w:t>
      </w:r>
      <w:proofErr w:type="spellStart"/>
      <w:r w:rsidR="008852A5" w:rsidRPr="008852A5">
        <w:rPr>
          <w:rFonts w:eastAsia="Times New Roman" w:cstheme="minorHAnsi"/>
        </w:rPr>
        <w:t>letter</w:t>
      </w:r>
      <w:proofErr w:type="spellEnd"/>
      <w:r w:rsidR="008852A5" w:rsidRPr="008852A5">
        <w:rPr>
          <w:rFonts w:eastAsia="Times New Roman" w:cstheme="minorHAnsi"/>
        </w:rPr>
        <w:t xml:space="preserve"> a) </w:t>
      </w:r>
      <w:proofErr w:type="spellStart"/>
      <w:r w:rsidRPr="00103720">
        <w:rPr>
          <w:rFonts w:eastAsia="Times New Roman" w:cstheme="minorHAnsi"/>
        </w:rPr>
        <w:t>shall</w:t>
      </w:r>
      <w:proofErr w:type="spellEnd"/>
      <w:r w:rsidRPr="00103720">
        <w:rPr>
          <w:rFonts w:eastAsia="Times New Roman" w:cstheme="minorHAnsi"/>
        </w:rPr>
        <w:t xml:space="preserve"> </w:t>
      </w:r>
      <w:proofErr w:type="spellStart"/>
      <w:r w:rsidRPr="00103720">
        <w:rPr>
          <w:rFonts w:eastAsia="Times New Roman" w:cstheme="minorHAnsi"/>
        </w:rPr>
        <w:t>be</w:t>
      </w:r>
      <w:proofErr w:type="spellEnd"/>
      <w:r w:rsidRPr="00103720">
        <w:rPr>
          <w:rFonts w:eastAsia="Times New Roman" w:cstheme="minorHAnsi"/>
        </w:rPr>
        <w:t xml:space="preserve"> met</w:t>
      </w:r>
      <w:r>
        <w:rPr>
          <w:rFonts w:eastAsia="Times New Roman" w:cstheme="minorHAnsi"/>
        </w:rPr>
        <w:t xml:space="preserve"> </w:t>
      </w:r>
      <w:proofErr w:type="spellStart"/>
      <w:r w:rsidRPr="00103720">
        <w:rPr>
          <w:rFonts w:eastAsia="Times New Roman" w:cstheme="minorHAnsi"/>
        </w:rPr>
        <w:t>simultaneously</w:t>
      </w:r>
      <w:proofErr w:type="spellEnd"/>
      <w:r w:rsidRPr="00103720">
        <w:rPr>
          <w:rFonts w:eastAsia="Times New Roman" w:cstheme="minorHAnsi"/>
        </w:rPr>
        <w:t xml:space="preserve"> by:</w:t>
      </w:r>
    </w:p>
    <w:p w14:paraId="5D018392" w14:textId="77777777" w:rsidR="00E60F30" w:rsidRPr="00103720" w:rsidRDefault="00E60F30" w:rsidP="00E60F30">
      <w:pPr>
        <w:pStyle w:val="Odstavecseseznamem"/>
        <w:widowControl w:val="0"/>
        <w:numPr>
          <w:ilvl w:val="0"/>
          <w:numId w:val="7"/>
        </w:numPr>
        <w:spacing w:after="0" w:line="264" w:lineRule="auto"/>
        <w:jc w:val="both"/>
        <w:rPr>
          <w:rFonts w:eastAsia="Times New Roman" w:cstheme="minorHAnsi"/>
        </w:rPr>
      </w:pPr>
      <w:r w:rsidRPr="00103720">
        <w:rPr>
          <w:rFonts w:eastAsia="Times New Roman" w:cstheme="minorHAnsi"/>
        </w:rPr>
        <w:t>such legal entity,</w:t>
      </w:r>
    </w:p>
    <w:p w14:paraId="1E216164" w14:textId="77777777" w:rsidR="00E60F30" w:rsidRPr="00103720" w:rsidRDefault="00E60F30" w:rsidP="00E60F30">
      <w:pPr>
        <w:pStyle w:val="Odstavecseseznamem"/>
        <w:widowControl w:val="0"/>
        <w:numPr>
          <w:ilvl w:val="0"/>
          <w:numId w:val="7"/>
        </w:numPr>
        <w:spacing w:after="0" w:line="264" w:lineRule="auto"/>
        <w:jc w:val="both"/>
        <w:rPr>
          <w:rFonts w:eastAsia="Times New Roman" w:cstheme="minorHAnsi"/>
        </w:rPr>
      </w:pPr>
      <w:r w:rsidRPr="00103720">
        <w:rPr>
          <w:rFonts w:eastAsia="Times New Roman" w:cstheme="minorHAnsi"/>
        </w:rPr>
        <w:t>each member of its own statutory body and</w:t>
      </w:r>
    </w:p>
    <w:p w14:paraId="01A1FBA5" w14:textId="77777777" w:rsidR="00E60F30" w:rsidRPr="00103720" w:rsidRDefault="00E60F30" w:rsidP="00E60F30">
      <w:pPr>
        <w:pStyle w:val="Odstavecseseznamem"/>
        <w:widowControl w:val="0"/>
        <w:numPr>
          <w:ilvl w:val="0"/>
          <w:numId w:val="7"/>
        </w:numPr>
        <w:spacing w:after="0" w:line="264" w:lineRule="auto"/>
        <w:jc w:val="both"/>
        <w:rPr>
          <w:rFonts w:eastAsia="Times New Roman" w:cstheme="minorHAnsi"/>
        </w:rPr>
      </w:pPr>
      <w:r w:rsidRPr="00103720">
        <w:rPr>
          <w:rFonts w:eastAsia="Times New Roman" w:cstheme="minorHAnsi"/>
        </w:rPr>
        <w:t>the person representing this legal entity within the statutory body of the Supplier.</w:t>
      </w:r>
    </w:p>
    <w:p w14:paraId="3E3F92E7" w14:textId="77777777" w:rsidR="00E60F30" w:rsidRDefault="00E60F30" w:rsidP="00E60F30">
      <w:pPr>
        <w:widowControl w:val="0"/>
        <w:spacing w:after="0" w:line="264" w:lineRule="auto"/>
        <w:jc w:val="both"/>
        <w:rPr>
          <w:rFonts w:eastAsia="Times New Roman" w:cstheme="minorHAnsi"/>
        </w:rPr>
      </w:pPr>
    </w:p>
    <w:p w14:paraId="27F376F8" w14:textId="77777777" w:rsidR="00E60F30" w:rsidRPr="00103720" w:rsidRDefault="00E60F30" w:rsidP="00E60F30">
      <w:pPr>
        <w:widowControl w:val="0"/>
        <w:spacing w:after="0" w:line="264" w:lineRule="auto"/>
        <w:jc w:val="both"/>
        <w:rPr>
          <w:rFonts w:eastAsia="Times New Roman" w:cstheme="minorHAnsi"/>
        </w:rPr>
      </w:pPr>
      <w:r w:rsidRPr="00103720">
        <w:rPr>
          <w:rFonts w:eastAsia="Times New Roman" w:cstheme="minorHAnsi"/>
        </w:rPr>
        <w:t>Should the participant in the tendering procedure be a branch of an enterprise</w:t>
      </w:r>
    </w:p>
    <w:p w14:paraId="4227DF3C" w14:textId="148BAD69" w:rsidR="00E60F30" w:rsidRPr="000324E5" w:rsidRDefault="00E60F30" w:rsidP="00E60F30">
      <w:pPr>
        <w:pStyle w:val="Odstavecseseznamem"/>
        <w:widowControl w:val="0"/>
        <w:numPr>
          <w:ilvl w:val="0"/>
          <w:numId w:val="8"/>
        </w:numPr>
        <w:spacing w:after="0" w:line="264" w:lineRule="auto"/>
        <w:jc w:val="both"/>
        <w:rPr>
          <w:rFonts w:eastAsia="Times New Roman" w:cstheme="minorHAnsi"/>
        </w:rPr>
      </w:pPr>
      <w:r w:rsidRPr="000324E5">
        <w:rPr>
          <w:rFonts w:eastAsia="Times New Roman" w:cstheme="minorHAnsi"/>
        </w:rPr>
        <w:t xml:space="preserve">of a </w:t>
      </w:r>
      <w:proofErr w:type="spellStart"/>
      <w:r w:rsidRPr="000324E5">
        <w:rPr>
          <w:rFonts w:eastAsia="Times New Roman" w:cstheme="minorHAnsi"/>
        </w:rPr>
        <w:t>foreign</w:t>
      </w:r>
      <w:proofErr w:type="spellEnd"/>
      <w:r w:rsidRPr="000324E5">
        <w:rPr>
          <w:rFonts w:eastAsia="Times New Roman" w:cstheme="minorHAnsi"/>
        </w:rPr>
        <w:t xml:space="preserve"> </w:t>
      </w:r>
      <w:proofErr w:type="spellStart"/>
      <w:r w:rsidRPr="000324E5">
        <w:rPr>
          <w:rFonts w:eastAsia="Times New Roman" w:cstheme="minorHAnsi"/>
        </w:rPr>
        <w:t>legal</w:t>
      </w:r>
      <w:proofErr w:type="spellEnd"/>
      <w:r w:rsidRPr="000324E5">
        <w:rPr>
          <w:rFonts w:eastAsia="Times New Roman" w:cstheme="minorHAnsi"/>
        </w:rPr>
        <w:t xml:space="preserve"> entity, the </w:t>
      </w:r>
      <w:proofErr w:type="spellStart"/>
      <w:r w:rsidRPr="000324E5">
        <w:rPr>
          <w:rFonts w:eastAsia="Times New Roman" w:cstheme="minorHAnsi"/>
        </w:rPr>
        <w:t>conditions</w:t>
      </w:r>
      <w:proofErr w:type="spellEnd"/>
      <w:r w:rsidRPr="000324E5">
        <w:rPr>
          <w:rFonts w:eastAsia="Times New Roman" w:cstheme="minorHAnsi"/>
        </w:rPr>
        <w:t xml:space="preserve"> </w:t>
      </w:r>
      <w:proofErr w:type="spellStart"/>
      <w:r w:rsidR="008852A5" w:rsidRPr="008852A5">
        <w:rPr>
          <w:rFonts w:eastAsia="Times New Roman" w:cstheme="minorHAnsi"/>
        </w:rPr>
        <w:t>according</w:t>
      </w:r>
      <w:proofErr w:type="spellEnd"/>
      <w:r w:rsidR="008852A5" w:rsidRPr="008852A5">
        <w:rPr>
          <w:rFonts w:eastAsia="Times New Roman" w:cstheme="minorHAnsi"/>
        </w:rPr>
        <w:t xml:space="preserve"> to </w:t>
      </w:r>
      <w:proofErr w:type="spellStart"/>
      <w:r w:rsidRPr="000324E5">
        <w:rPr>
          <w:rFonts w:eastAsia="Times New Roman" w:cstheme="minorHAnsi"/>
        </w:rPr>
        <w:t>letter</w:t>
      </w:r>
      <w:proofErr w:type="spellEnd"/>
      <w:r w:rsidRPr="000324E5">
        <w:rPr>
          <w:rFonts w:eastAsia="Times New Roman" w:cstheme="minorHAnsi"/>
        </w:rPr>
        <w:t xml:space="preserve"> a) </w:t>
      </w:r>
      <w:proofErr w:type="spellStart"/>
      <w:r w:rsidRPr="000324E5">
        <w:rPr>
          <w:rFonts w:eastAsia="Times New Roman" w:cstheme="minorHAnsi"/>
        </w:rPr>
        <w:t>shall</w:t>
      </w:r>
      <w:proofErr w:type="spellEnd"/>
      <w:r w:rsidRPr="000324E5">
        <w:rPr>
          <w:rFonts w:eastAsia="Times New Roman" w:cstheme="minorHAnsi"/>
        </w:rPr>
        <w:t xml:space="preserve"> </w:t>
      </w:r>
      <w:proofErr w:type="spellStart"/>
      <w:r w:rsidRPr="000324E5">
        <w:rPr>
          <w:rFonts w:eastAsia="Times New Roman" w:cstheme="minorHAnsi"/>
        </w:rPr>
        <w:t>be</w:t>
      </w:r>
      <w:proofErr w:type="spellEnd"/>
      <w:r w:rsidRPr="000324E5">
        <w:rPr>
          <w:rFonts w:eastAsia="Times New Roman" w:cstheme="minorHAnsi"/>
        </w:rPr>
        <w:t xml:space="preserve"> met by the legal entity and the manager of the branch of such enterprise,</w:t>
      </w:r>
    </w:p>
    <w:p w14:paraId="10935CF6" w14:textId="62539BB3" w:rsidR="000733BC" w:rsidRPr="008852A5" w:rsidRDefault="00E60F30" w:rsidP="008852A5">
      <w:pPr>
        <w:pStyle w:val="Odstavecseseznamem"/>
        <w:numPr>
          <w:ilvl w:val="0"/>
          <w:numId w:val="8"/>
        </w:numPr>
        <w:rPr>
          <w:rFonts w:eastAsia="Times New Roman" w:cstheme="minorHAnsi"/>
        </w:rPr>
      </w:pPr>
      <w:r w:rsidRPr="008852A5">
        <w:rPr>
          <w:rFonts w:eastAsia="Times New Roman" w:cstheme="minorHAnsi"/>
        </w:rPr>
        <w:t xml:space="preserve">Czech </w:t>
      </w:r>
      <w:proofErr w:type="spellStart"/>
      <w:r w:rsidRPr="008852A5">
        <w:rPr>
          <w:rFonts w:eastAsia="Times New Roman" w:cstheme="minorHAnsi"/>
        </w:rPr>
        <w:t>legal</w:t>
      </w:r>
      <w:proofErr w:type="spellEnd"/>
      <w:r w:rsidRPr="008852A5">
        <w:rPr>
          <w:rFonts w:eastAsia="Times New Roman" w:cstheme="minorHAnsi"/>
        </w:rPr>
        <w:t xml:space="preserve"> entity, the </w:t>
      </w:r>
      <w:proofErr w:type="spellStart"/>
      <w:r w:rsidRPr="008852A5">
        <w:rPr>
          <w:rFonts w:eastAsia="Times New Roman" w:cstheme="minorHAnsi"/>
        </w:rPr>
        <w:t>conditions</w:t>
      </w:r>
      <w:proofErr w:type="spellEnd"/>
      <w:r w:rsidRPr="008852A5">
        <w:rPr>
          <w:rFonts w:eastAsia="Times New Roman" w:cstheme="minorHAnsi"/>
        </w:rPr>
        <w:t xml:space="preserve"> </w:t>
      </w:r>
      <w:proofErr w:type="spellStart"/>
      <w:r w:rsidR="008852A5" w:rsidRPr="008852A5">
        <w:rPr>
          <w:rFonts w:eastAsia="Times New Roman" w:cstheme="minorHAnsi"/>
        </w:rPr>
        <w:t>according</w:t>
      </w:r>
      <w:proofErr w:type="spellEnd"/>
      <w:r w:rsidR="008852A5" w:rsidRPr="008852A5">
        <w:rPr>
          <w:rFonts w:eastAsia="Times New Roman" w:cstheme="minorHAnsi"/>
        </w:rPr>
        <w:t xml:space="preserve"> to </w:t>
      </w:r>
      <w:proofErr w:type="spellStart"/>
      <w:r w:rsidRPr="008852A5">
        <w:rPr>
          <w:rFonts w:eastAsia="Times New Roman" w:cstheme="minorHAnsi"/>
        </w:rPr>
        <w:t>letter</w:t>
      </w:r>
      <w:proofErr w:type="spellEnd"/>
      <w:r w:rsidRPr="008852A5">
        <w:rPr>
          <w:rFonts w:eastAsia="Times New Roman" w:cstheme="minorHAnsi"/>
        </w:rPr>
        <w:t xml:space="preserve"> a) </w:t>
      </w:r>
      <w:proofErr w:type="spellStart"/>
      <w:r w:rsidRPr="008852A5">
        <w:rPr>
          <w:rFonts w:eastAsia="Times New Roman" w:cstheme="minorHAnsi"/>
        </w:rPr>
        <w:t>shall</w:t>
      </w:r>
      <w:proofErr w:type="spellEnd"/>
      <w:r w:rsidRPr="008852A5">
        <w:rPr>
          <w:rFonts w:eastAsia="Times New Roman" w:cstheme="minorHAnsi"/>
        </w:rPr>
        <w:t xml:space="preserve"> </w:t>
      </w:r>
      <w:proofErr w:type="spellStart"/>
      <w:r w:rsidRPr="008852A5">
        <w:rPr>
          <w:rFonts w:eastAsia="Times New Roman" w:cstheme="minorHAnsi"/>
        </w:rPr>
        <w:t>be</w:t>
      </w:r>
      <w:proofErr w:type="spellEnd"/>
      <w:r w:rsidRPr="008852A5">
        <w:rPr>
          <w:rFonts w:eastAsia="Times New Roman" w:cstheme="minorHAnsi"/>
        </w:rPr>
        <w:t xml:space="preserve"> met by </w:t>
      </w:r>
      <w:proofErr w:type="spellStart"/>
      <w:r w:rsidRPr="008852A5">
        <w:rPr>
          <w:rFonts w:eastAsia="Times New Roman" w:cstheme="minorHAnsi"/>
        </w:rPr>
        <w:t>persons</w:t>
      </w:r>
      <w:proofErr w:type="spellEnd"/>
      <w:r w:rsidRPr="008852A5">
        <w:rPr>
          <w:rFonts w:eastAsia="Times New Roman" w:cstheme="minorHAnsi"/>
        </w:rPr>
        <w:t xml:space="preserve"> </w:t>
      </w:r>
      <w:proofErr w:type="spellStart"/>
      <w:r w:rsidR="008852A5" w:rsidRPr="008852A5">
        <w:rPr>
          <w:rFonts w:eastAsia="Times New Roman" w:cstheme="minorHAnsi"/>
        </w:rPr>
        <w:t>mentioned</w:t>
      </w:r>
      <w:proofErr w:type="spellEnd"/>
      <w:r w:rsidR="008852A5" w:rsidRPr="008852A5">
        <w:rPr>
          <w:rFonts w:eastAsia="Times New Roman" w:cstheme="minorHAnsi"/>
        </w:rPr>
        <w:t xml:space="preserve"> in the </w:t>
      </w:r>
      <w:proofErr w:type="spellStart"/>
      <w:r w:rsidR="008852A5" w:rsidRPr="008852A5">
        <w:rPr>
          <w:rFonts w:eastAsia="Times New Roman" w:cstheme="minorHAnsi"/>
        </w:rPr>
        <w:t>previous</w:t>
      </w:r>
      <w:proofErr w:type="spellEnd"/>
      <w:r w:rsidR="008852A5" w:rsidRPr="008852A5">
        <w:rPr>
          <w:rFonts w:eastAsia="Times New Roman" w:cstheme="minorHAnsi"/>
        </w:rPr>
        <w:t xml:space="preserve"> </w:t>
      </w:r>
      <w:proofErr w:type="spellStart"/>
      <w:r w:rsidR="008852A5" w:rsidRPr="008852A5">
        <w:rPr>
          <w:rFonts w:eastAsia="Times New Roman" w:cstheme="minorHAnsi"/>
        </w:rPr>
        <w:t>paragraph</w:t>
      </w:r>
      <w:proofErr w:type="spellEnd"/>
      <w:r w:rsidR="008852A5" w:rsidRPr="008852A5">
        <w:rPr>
          <w:rFonts w:eastAsia="Times New Roman" w:cstheme="minorHAnsi"/>
        </w:rPr>
        <w:t xml:space="preserve"> and </w:t>
      </w:r>
      <w:proofErr w:type="spellStart"/>
      <w:r w:rsidR="008852A5" w:rsidRPr="008852A5">
        <w:rPr>
          <w:rFonts w:eastAsia="Times New Roman" w:cstheme="minorHAnsi"/>
        </w:rPr>
        <w:t>also</w:t>
      </w:r>
      <w:proofErr w:type="spellEnd"/>
      <w:r w:rsidR="008852A5" w:rsidRPr="008852A5">
        <w:rPr>
          <w:rFonts w:eastAsia="Times New Roman" w:cstheme="minorHAnsi"/>
        </w:rPr>
        <w:t xml:space="preserve"> the manager of the </w:t>
      </w:r>
      <w:proofErr w:type="spellStart"/>
      <w:r w:rsidR="008852A5" w:rsidRPr="008852A5">
        <w:rPr>
          <w:rFonts w:eastAsia="Times New Roman" w:cstheme="minorHAnsi"/>
        </w:rPr>
        <w:t>branch</w:t>
      </w:r>
      <w:proofErr w:type="spellEnd"/>
      <w:r w:rsidR="008852A5" w:rsidRPr="008852A5">
        <w:rPr>
          <w:rFonts w:eastAsia="Times New Roman" w:cstheme="minorHAnsi"/>
        </w:rPr>
        <w:t xml:space="preserve"> of such </w:t>
      </w:r>
      <w:proofErr w:type="spellStart"/>
      <w:r w:rsidR="008852A5" w:rsidRPr="008852A5">
        <w:rPr>
          <w:rFonts w:eastAsia="Times New Roman" w:cstheme="minorHAnsi"/>
        </w:rPr>
        <w:t>enterprise</w:t>
      </w:r>
      <w:proofErr w:type="spellEnd"/>
      <w:r w:rsidR="008852A5" w:rsidRPr="008852A5">
        <w:rPr>
          <w:rFonts w:eastAsia="Times New Roman" w:cstheme="minorHAnsi"/>
        </w:rPr>
        <w:t>.</w:t>
      </w:r>
    </w:p>
    <w:p w14:paraId="7EA78E67" w14:textId="6C10CF4A" w:rsidR="004C22E6" w:rsidRDefault="004C22E6" w:rsidP="00800F3F">
      <w:pPr>
        <w:rPr>
          <w:rFonts w:cs="Arial"/>
          <w:lang w:val="en-GB"/>
        </w:rPr>
      </w:pPr>
    </w:p>
    <w:p w14:paraId="27453C76" w14:textId="77777777" w:rsidR="000733BC" w:rsidRPr="009601CA" w:rsidRDefault="000733BC" w:rsidP="000733BC">
      <w:pPr>
        <w:rPr>
          <w:rFonts w:cs="Arial"/>
          <w:lang w:val="en-GB"/>
        </w:rPr>
      </w:pPr>
      <w:r>
        <w:rPr>
          <w:rFonts w:cs="Arial"/>
          <w:lang w:val="en-GB"/>
        </w:rPr>
        <w:t>I</w:t>
      </w:r>
      <w:r w:rsidRPr="009601CA">
        <w:rPr>
          <w:rFonts w:cs="Arial"/>
          <w:lang w:val="en-GB"/>
        </w:rPr>
        <w:t>n</w:t>
      </w:r>
      <w:r>
        <w:rPr>
          <w:rFonts w:cs="Arial"/>
          <w:lang w:val="en-GB"/>
        </w:rPr>
        <w:t xml:space="preserve"> </w:t>
      </w:r>
      <w:r w:rsidRPr="001B01E3">
        <w:rPr>
          <w:rFonts w:cs="Arial"/>
          <w:highlight w:val="yellow"/>
          <w:lang w:val="en-GB"/>
        </w:rPr>
        <w:t>[place]</w:t>
      </w:r>
      <w:r>
        <w:rPr>
          <w:rFonts w:cs="Arial"/>
          <w:lang w:val="en-GB"/>
        </w:rPr>
        <w:t xml:space="preserve"> </w:t>
      </w:r>
      <w:r w:rsidRPr="009601CA">
        <w:rPr>
          <w:rFonts w:cs="Arial"/>
          <w:highlight w:val="yellow"/>
          <w:lang w:val="en-GB"/>
        </w:rPr>
        <w:t>…………………………..</w:t>
      </w:r>
      <w:r w:rsidRPr="009601CA">
        <w:rPr>
          <w:rFonts w:cs="Arial"/>
          <w:lang w:val="en-GB"/>
        </w:rPr>
        <w:t xml:space="preserve"> on </w:t>
      </w:r>
      <w:r w:rsidRPr="001B01E3">
        <w:rPr>
          <w:rFonts w:cs="Arial"/>
          <w:highlight w:val="yellow"/>
          <w:lang w:val="en-GB"/>
        </w:rPr>
        <w:t>[date] ……………………</w:t>
      </w:r>
    </w:p>
    <w:p w14:paraId="262D3BAC" w14:textId="77777777" w:rsidR="000733BC" w:rsidRDefault="000733BC" w:rsidP="000733BC">
      <w:pPr>
        <w:rPr>
          <w:rFonts w:cs="Arial"/>
          <w:lang w:val="en-GB"/>
        </w:rPr>
      </w:pPr>
    </w:p>
    <w:p w14:paraId="305704A6" w14:textId="77777777" w:rsidR="000733BC" w:rsidRPr="009601CA" w:rsidRDefault="000733BC" w:rsidP="000733BC">
      <w:pPr>
        <w:rPr>
          <w:rFonts w:cs="Arial"/>
          <w:lang w:val="en-GB"/>
        </w:rPr>
      </w:pPr>
    </w:p>
    <w:p w14:paraId="155A1742" w14:textId="77777777" w:rsidR="000733BC" w:rsidRPr="009601CA" w:rsidRDefault="000733BC" w:rsidP="000733BC">
      <w:pPr>
        <w:jc w:val="right"/>
        <w:rPr>
          <w:rFonts w:cs="Arial"/>
          <w:lang w:val="en-GB"/>
        </w:rPr>
      </w:pPr>
      <w:r w:rsidRPr="009601CA">
        <w:rPr>
          <w:rFonts w:cs="Arial"/>
          <w:highlight w:val="yellow"/>
          <w:lang w:val="en-GB"/>
        </w:rPr>
        <w:t>………………………………………………………………….</w:t>
      </w:r>
    </w:p>
    <w:p w14:paraId="3C3AEA9F" w14:textId="77777777" w:rsidR="000733BC" w:rsidRDefault="000733BC" w:rsidP="000733BC">
      <w:pPr>
        <w:ind w:left="5245"/>
        <w:rPr>
          <w:rFonts w:cs="Arial"/>
          <w:lang w:val="en-GB"/>
        </w:rPr>
      </w:pPr>
      <w:r w:rsidRPr="009601CA">
        <w:rPr>
          <w:rFonts w:cs="Arial"/>
          <w:lang w:val="en-GB"/>
        </w:rPr>
        <w:t>(</w:t>
      </w:r>
      <w:r w:rsidRPr="009601CA">
        <w:rPr>
          <w:rFonts w:cs="Arial"/>
          <w:highlight w:val="yellow"/>
          <w:lang w:val="en-GB"/>
        </w:rPr>
        <w:t>name and signature of the person authorized to represent the Supplier – to be completed by the Supplier</w:t>
      </w:r>
      <w:r w:rsidRPr="009601CA">
        <w:rPr>
          <w:rFonts w:cs="Arial"/>
          <w:lang w:val="en-GB"/>
        </w:rPr>
        <w:t>)</w:t>
      </w:r>
    </w:p>
    <w:p w14:paraId="3B47BB54" w14:textId="77777777" w:rsidR="000733BC" w:rsidRPr="009601CA" w:rsidRDefault="000733BC" w:rsidP="000733BC">
      <w:pPr>
        <w:ind w:left="5245"/>
        <w:rPr>
          <w:rFonts w:cs="Arial"/>
          <w:lang w:val="en-GB"/>
        </w:rPr>
      </w:pPr>
    </w:p>
    <w:p w14:paraId="49EA5457" w14:textId="77777777" w:rsidR="000733BC" w:rsidRDefault="000733BC" w:rsidP="000733BC">
      <w:pPr>
        <w:rPr>
          <w:rFonts w:cs="Arial"/>
          <w:i/>
          <w:sz w:val="20"/>
          <w:szCs w:val="20"/>
          <w:lang w:val="en-GB"/>
        </w:rPr>
      </w:pPr>
      <w:r w:rsidRPr="009601CA">
        <w:rPr>
          <w:rFonts w:cs="Arial"/>
          <w:i/>
          <w:sz w:val="20"/>
          <w:szCs w:val="20"/>
          <w:lang w:val="en-GB"/>
        </w:rPr>
        <w:t>Note: Supplier shall only fill in that parts that are highlighted in yellow colour.</w:t>
      </w:r>
    </w:p>
    <w:p w14:paraId="06AFF48B" w14:textId="77777777" w:rsidR="000733BC" w:rsidRPr="000733BC" w:rsidRDefault="000733BC" w:rsidP="00800F3F">
      <w:pPr>
        <w:rPr>
          <w:rFonts w:cs="Arial"/>
          <w:lang w:val="en-GB"/>
        </w:rPr>
      </w:pPr>
    </w:p>
    <w:sectPr w:rsidR="000733BC" w:rsidRPr="000733BC" w:rsidSect="00AE63C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41A9" w14:textId="77777777" w:rsidR="007A09AC" w:rsidRDefault="007A09AC" w:rsidP="0050441F">
      <w:pPr>
        <w:spacing w:after="0" w:line="240" w:lineRule="auto"/>
      </w:pPr>
      <w:r>
        <w:separator/>
      </w:r>
    </w:p>
  </w:endnote>
  <w:endnote w:type="continuationSeparator" w:id="0">
    <w:p w14:paraId="28BC433A" w14:textId="77777777" w:rsidR="007A09AC" w:rsidRDefault="007A09AC" w:rsidP="0050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110262"/>
      <w:docPartObj>
        <w:docPartGallery w:val="Page Numbers (Bottom of Page)"/>
        <w:docPartUnique/>
      </w:docPartObj>
    </w:sdtPr>
    <w:sdtEndPr/>
    <w:sdtContent>
      <w:p w14:paraId="654D59AF" w14:textId="538FF9A6" w:rsidR="00AE63C2" w:rsidRDefault="00AE63C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A1A02" w14:textId="77777777" w:rsidR="00AE63C2" w:rsidRDefault="00AE63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755D" w14:textId="77777777" w:rsidR="007A09AC" w:rsidRDefault="007A09AC" w:rsidP="0050441F">
      <w:pPr>
        <w:spacing w:after="0" w:line="240" w:lineRule="auto"/>
      </w:pPr>
      <w:r>
        <w:separator/>
      </w:r>
    </w:p>
  </w:footnote>
  <w:footnote w:type="continuationSeparator" w:id="0">
    <w:p w14:paraId="6136B604" w14:textId="77777777" w:rsidR="007A09AC" w:rsidRDefault="007A09AC" w:rsidP="0050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51B1" w14:textId="7AAD6A0C" w:rsidR="00AE63C2" w:rsidRDefault="00A44B42">
    <w:pPr>
      <w:pStyle w:val="Zhlav"/>
    </w:pPr>
    <w:r>
      <w:rPr>
        <w:noProof/>
      </w:rPr>
      <w:drawing>
        <wp:inline distT="0" distB="0" distL="0" distR="0" wp14:anchorId="69CA55D4" wp14:editId="2E1924EA">
          <wp:extent cx="619125" cy="619125"/>
          <wp:effectExtent l="0" t="0" r="0" b="0"/>
          <wp:docPr id="618272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27227" name="Obrázek 61827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70" cy="61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D6703" w14:textId="2033D5C8" w:rsidR="00AE63C2" w:rsidRDefault="00AE63C2" w:rsidP="00AE63C2">
    <w:pPr>
      <w:pStyle w:val="Zhlav"/>
      <w:jc w:val="right"/>
    </w:pPr>
    <w:proofErr w:type="spellStart"/>
    <w:r>
      <w:t>Annex</w:t>
    </w:r>
    <w:proofErr w:type="spellEnd"/>
    <w:r>
      <w:t xml:space="preserve"> No. </w:t>
    </w:r>
    <w:r w:rsidR="00ED71BA">
      <w:t>3</w:t>
    </w:r>
    <w:r>
      <w:t xml:space="preserve"> - </w:t>
    </w:r>
    <w:proofErr w:type="spellStart"/>
    <w:r w:rsidR="00464A37">
      <w:t>T</w:t>
    </w:r>
    <w:r w:rsidR="00464A37" w:rsidRPr="00A96BEF">
      <w:t>emplate</w:t>
    </w:r>
    <w:proofErr w:type="spellEnd"/>
    <w:r w:rsidR="00464A37" w:rsidRPr="00A96BEF">
      <w:t xml:space="preserve"> of affidavit </w:t>
    </w:r>
    <w:proofErr w:type="spellStart"/>
    <w:r w:rsidR="00464A37">
      <w:t>for</w:t>
    </w:r>
    <w:proofErr w:type="spellEnd"/>
    <w:r w:rsidR="00464A37" w:rsidRPr="00A96BEF">
      <w:t xml:space="preserve"> basic </w:t>
    </w:r>
    <w:proofErr w:type="spellStart"/>
    <w:r w:rsidR="00464A37" w:rsidRPr="00A96BEF">
      <w:t>qualification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C8FC" w14:textId="230C6774" w:rsidR="00AE63C2" w:rsidRDefault="00AE63C2">
    <w:pPr>
      <w:pStyle w:val="Zhlav"/>
    </w:pPr>
    <w:r>
      <w:rPr>
        <w:noProof/>
        <w:lang w:eastAsia="cs-CZ"/>
      </w:rPr>
      <w:drawing>
        <wp:inline distT="0" distB="0" distL="0" distR="0" wp14:anchorId="2A9D075F" wp14:editId="6530A279">
          <wp:extent cx="34290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16DDB5" w14:textId="77777777" w:rsidR="007E6401" w:rsidRPr="00C70DB6" w:rsidRDefault="007E6401" w:rsidP="00C70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AE3"/>
    <w:multiLevelType w:val="hybridMultilevel"/>
    <w:tmpl w:val="679421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68438E"/>
    <w:multiLevelType w:val="hybridMultilevel"/>
    <w:tmpl w:val="7F486A9A"/>
    <w:lvl w:ilvl="0" w:tplc="ACC2FF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7C6C5F"/>
    <w:multiLevelType w:val="hybridMultilevel"/>
    <w:tmpl w:val="7C58D6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357C6"/>
    <w:multiLevelType w:val="hybridMultilevel"/>
    <w:tmpl w:val="CF72F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D2C73"/>
    <w:multiLevelType w:val="hybridMultilevel"/>
    <w:tmpl w:val="DC680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B632E"/>
    <w:multiLevelType w:val="hybridMultilevel"/>
    <w:tmpl w:val="609A52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6825">
    <w:abstractNumId w:val="2"/>
  </w:num>
  <w:num w:numId="2" w16cid:durableId="1202783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868848">
    <w:abstractNumId w:val="6"/>
  </w:num>
  <w:num w:numId="4" w16cid:durableId="432432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004150">
    <w:abstractNumId w:val="0"/>
  </w:num>
  <w:num w:numId="6" w16cid:durableId="1578663659">
    <w:abstractNumId w:val="4"/>
  </w:num>
  <w:num w:numId="7" w16cid:durableId="1966688926">
    <w:abstractNumId w:val="3"/>
  </w:num>
  <w:num w:numId="8" w16cid:durableId="712461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DD7"/>
    <w:rsid w:val="00014540"/>
    <w:rsid w:val="00015E3F"/>
    <w:rsid w:val="00025D01"/>
    <w:rsid w:val="000733BC"/>
    <w:rsid w:val="00077884"/>
    <w:rsid w:val="00097877"/>
    <w:rsid w:val="000A0F6C"/>
    <w:rsid w:val="000E3E70"/>
    <w:rsid w:val="001B01E3"/>
    <w:rsid w:val="001C3E34"/>
    <w:rsid w:val="00243787"/>
    <w:rsid w:val="0027699A"/>
    <w:rsid w:val="003573E0"/>
    <w:rsid w:val="003869C1"/>
    <w:rsid w:val="003869D4"/>
    <w:rsid w:val="0039136C"/>
    <w:rsid w:val="003C7208"/>
    <w:rsid w:val="003E4A09"/>
    <w:rsid w:val="00452FAA"/>
    <w:rsid w:val="004613B0"/>
    <w:rsid w:val="00464A37"/>
    <w:rsid w:val="004A7964"/>
    <w:rsid w:val="004C22E6"/>
    <w:rsid w:val="004E5B2E"/>
    <w:rsid w:val="004E6101"/>
    <w:rsid w:val="004E6BE7"/>
    <w:rsid w:val="0050441F"/>
    <w:rsid w:val="00530F8C"/>
    <w:rsid w:val="00555770"/>
    <w:rsid w:val="00595BEB"/>
    <w:rsid w:val="00597ED8"/>
    <w:rsid w:val="005B5066"/>
    <w:rsid w:val="005E2462"/>
    <w:rsid w:val="005E5715"/>
    <w:rsid w:val="00616B6D"/>
    <w:rsid w:val="00625519"/>
    <w:rsid w:val="0064488B"/>
    <w:rsid w:val="00680350"/>
    <w:rsid w:val="006B0609"/>
    <w:rsid w:val="006D140C"/>
    <w:rsid w:val="006D79CD"/>
    <w:rsid w:val="006E5513"/>
    <w:rsid w:val="00715F44"/>
    <w:rsid w:val="00726ECD"/>
    <w:rsid w:val="00737266"/>
    <w:rsid w:val="0079094F"/>
    <w:rsid w:val="00791914"/>
    <w:rsid w:val="007A09AC"/>
    <w:rsid w:val="007E6401"/>
    <w:rsid w:val="00800F3F"/>
    <w:rsid w:val="00820C82"/>
    <w:rsid w:val="00862180"/>
    <w:rsid w:val="008852A5"/>
    <w:rsid w:val="00892A06"/>
    <w:rsid w:val="008A68DA"/>
    <w:rsid w:val="008D497B"/>
    <w:rsid w:val="00923CBB"/>
    <w:rsid w:val="009407FB"/>
    <w:rsid w:val="009601CA"/>
    <w:rsid w:val="0097379F"/>
    <w:rsid w:val="009B1D2F"/>
    <w:rsid w:val="009B3982"/>
    <w:rsid w:val="009C1B73"/>
    <w:rsid w:val="009C2027"/>
    <w:rsid w:val="009E4295"/>
    <w:rsid w:val="009E5686"/>
    <w:rsid w:val="00A44B42"/>
    <w:rsid w:val="00AE63C2"/>
    <w:rsid w:val="00B36CA4"/>
    <w:rsid w:val="00B454D9"/>
    <w:rsid w:val="00B649C1"/>
    <w:rsid w:val="00B674AD"/>
    <w:rsid w:val="00BE2B7C"/>
    <w:rsid w:val="00BE7E52"/>
    <w:rsid w:val="00BF1558"/>
    <w:rsid w:val="00C70DB6"/>
    <w:rsid w:val="00C766C5"/>
    <w:rsid w:val="00C83FC7"/>
    <w:rsid w:val="00C85269"/>
    <w:rsid w:val="00C86332"/>
    <w:rsid w:val="00CB5277"/>
    <w:rsid w:val="00CC316A"/>
    <w:rsid w:val="00CE7A01"/>
    <w:rsid w:val="00D93801"/>
    <w:rsid w:val="00DA0F30"/>
    <w:rsid w:val="00DD5665"/>
    <w:rsid w:val="00E06CBF"/>
    <w:rsid w:val="00E32F85"/>
    <w:rsid w:val="00E60F30"/>
    <w:rsid w:val="00ED71BA"/>
    <w:rsid w:val="00EF5D23"/>
    <w:rsid w:val="00F12046"/>
    <w:rsid w:val="00F14A4C"/>
    <w:rsid w:val="00F273A6"/>
    <w:rsid w:val="00F45B8C"/>
    <w:rsid w:val="00FD4DD7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B549F7"/>
  <w15:docId w15:val="{FB473C34-3B9F-44EE-98CC-CA1BA04C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540"/>
  </w:style>
  <w:style w:type="paragraph" w:styleId="Nadpis1">
    <w:name w:val="heading 1"/>
    <w:basedOn w:val="Normln"/>
    <w:next w:val="Styl2"/>
    <w:link w:val="Nadpis1Char"/>
    <w:uiPriority w:val="99"/>
    <w:qFormat/>
    <w:rsid w:val="00AE63C2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D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6">
    <w:name w:val="Light List Accent 6"/>
    <w:basedOn w:val="Normlntabulka"/>
    <w:uiPriority w:val="61"/>
    <w:rsid w:val="00F273A6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F273A6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CB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277"/>
  </w:style>
  <w:style w:type="paragraph" w:styleId="Zpat">
    <w:name w:val="footer"/>
    <w:basedOn w:val="Normln"/>
    <w:link w:val="ZpatChar"/>
    <w:uiPriority w:val="99"/>
    <w:unhideWhenUsed/>
    <w:rsid w:val="00CB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277"/>
  </w:style>
  <w:style w:type="paragraph" w:styleId="Odstavecseseznamem">
    <w:name w:val="List Paragraph"/>
    <w:basedOn w:val="Normln"/>
    <w:uiPriority w:val="34"/>
    <w:qFormat/>
    <w:rsid w:val="009C202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AE63C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AE63C2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AE63C2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AE63C2"/>
    <w:pPr>
      <w:numPr>
        <w:ilvl w:val="3"/>
        <w:numId w:val="2"/>
      </w:numPr>
      <w:spacing w:after="0"/>
      <w:ind w:left="851"/>
      <w:jc w:val="both"/>
    </w:pPr>
    <w:rPr>
      <w:rFonts w:ascii="Arial" w:eastAsiaTheme="majorEastAsia" w:hAnsi="Arial" w:cs="Arial"/>
      <w:bCs/>
    </w:rPr>
  </w:style>
  <w:style w:type="character" w:customStyle="1" w:styleId="ObyejnChar">
    <w:name w:val="Obyčejný Char"/>
    <w:basedOn w:val="Standardnpsmoodstavce"/>
    <w:link w:val="Obyejn"/>
    <w:locked/>
    <w:rsid w:val="00AE63C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AE63C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AE63C2"/>
    <w:pPr>
      <w:keepLines w:val="0"/>
      <w:numPr>
        <w:ilvl w:val="1"/>
        <w:numId w:val="2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character" w:customStyle="1" w:styleId="NadpiseditChar">
    <w:name w:val="Nadpis_edit Char"/>
    <w:basedOn w:val="Nadpis1Char"/>
    <w:link w:val="Nadpisedit"/>
    <w:locked/>
    <w:rsid w:val="00AE63C2"/>
    <w:rPr>
      <w:rFonts w:ascii="Arial" w:eastAsiaTheme="majorEastAsia" w:hAnsi="Arial" w:cs="Arial"/>
      <w:b w:val="0"/>
      <w:bCs w:val="0"/>
      <w:caps w:val="0"/>
      <w:color w:val="808080" w:themeColor="background1" w:themeShade="80"/>
      <w:sz w:val="28"/>
      <w:szCs w:val="28"/>
    </w:rPr>
  </w:style>
  <w:style w:type="paragraph" w:customStyle="1" w:styleId="Nadpisedit">
    <w:name w:val="Nadpis_edit"/>
    <w:basedOn w:val="Nadpis1"/>
    <w:link w:val="NadpiseditChar"/>
    <w:qFormat/>
    <w:rsid w:val="00AE63C2"/>
    <w:pPr>
      <w:numPr>
        <w:numId w:val="0"/>
      </w:numPr>
      <w:spacing w:before="0"/>
      <w:jc w:val="center"/>
    </w:pPr>
    <w:rPr>
      <w:b w:val="0"/>
      <w:bCs w:val="0"/>
      <w:caps w:val="0"/>
    </w:rPr>
  </w:style>
  <w:style w:type="character" w:customStyle="1" w:styleId="doplnuchazeChar">
    <w:name w:val="doplní uchazeč Char"/>
    <w:link w:val="doplnuchaze"/>
    <w:locked/>
    <w:rsid w:val="00AE63C2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AE63C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AE63C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E63C2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DB536A"/>
      </a:accent4>
      <a:accent5>
        <a:srgbClr val="A32020"/>
      </a:accent5>
      <a:accent6>
        <a:srgbClr val="E0301E"/>
      </a:accent6>
      <a:hlink>
        <a:srgbClr val="DC6900"/>
      </a:hlink>
      <a:folHlink>
        <a:srgbClr val="DC69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ec7779c5d2ed48e4869022abbdb81a8d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8e7a8a3acd5e6f36966ab0a570cf5de1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D9B64-1A15-43C2-AF4D-80E54736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64705-9946-49C7-A7C0-80303ACFDB4E}">
  <ds:schemaRefs>
    <ds:schemaRef ds:uri="http://purl.org/dc/dcmitype/"/>
    <ds:schemaRef ds:uri="5d7613ff-490a-4d5d-8dfb-fa737d95315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bf57cb4-cbb8-4680-a8b6-f492562219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2E72A0-1D4F-48E3-9FD1-B9833E52D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8782C-0527-43EC-AFE5-9B66C195B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Říhová Smolová Lucie</cp:lastModifiedBy>
  <cp:revision>3</cp:revision>
  <dcterms:created xsi:type="dcterms:W3CDTF">2024-06-20T12:04:00Z</dcterms:created>
  <dcterms:modified xsi:type="dcterms:W3CDTF">2025-11-07T09:03:00Z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