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0BF0BEFE"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2DDBD3B7" w14:textId="77777777" w:rsidR="0029670F" w:rsidRPr="00050100" w:rsidRDefault="0029670F" w:rsidP="00905EF4">
      <w:pPr>
        <w:jc w:val="both"/>
        <w:rPr>
          <w:rFonts w:ascii="Times New Roman" w:hAnsi="Times New Roman"/>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157D0AE5"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D03BEB">
        <w:rPr>
          <w:rFonts w:ascii="Times New Roman" w:hAnsi="Times New Roman"/>
          <w:b/>
          <w:spacing w:val="4"/>
          <w:lang w:val="cs-CZ"/>
        </w:rPr>
        <w:t xml:space="preserve"> </w:t>
      </w:r>
      <w:r w:rsidR="00106090">
        <w:rPr>
          <w:rFonts w:ascii="Times New Roman" w:hAnsi="Times New Roman"/>
          <w:b/>
          <w:spacing w:val="4"/>
          <w:lang w:val="cs-CZ"/>
        </w:rPr>
        <w:t>notebooku a počítačového příslušenství</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275D4BB9" w14:textId="124B5A5B" w:rsidR="00EC1E2C" w:rsidRDefault="00EC1E2C" w:rsidP="00490F2E">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6FD6078F" w14:textId="00ECE320" w:rsidR="00640CB1" w:rsidRDefault="00640CB1" w:rsidP="00490F2E">
      <w:pPr>
        <w:pStyle w:val="Bezmezer"/>
        <w:spacing w:line="264" w:lineRule="auto"/>
        <w:ind w:left="-142"/>
        <w:jc w:val="both"/>
        <w:rPr>
          <w:rFonts w:ascii="Times New Roman" w:eastAsia="Calibri" w:hAnsi="Times New Roman"/>
          <w:lang w:val="cs-CZ"/>
        </w:rPr>
      </w:pPr>
    </w:p>
    <w:p w14:paraId="15AC27C2" w14:textId="402A45F3" w:rsidR="00640CB1" w:rsidRDefault="00640CB1" w:rsidP="00640CB1">
      <w:pPr>
        <w:pStyle w:val="Bezmezer"/>
        <w:spacing w:line="264" w:lineRule="auto"/>
        <w:ind w:left="-142"/>
        <w:jc w:val="both"/>
        <w:rPr>
          <w:rFonts w:ascii="Times New Roman" w:eastAsia="Calibri" w:hAnsi="Times New Roman"/>
          <w:lang w:val="cs-CZ"/>
        </w:rPr>
      </w:pPr>
      <w:r>
        <w:rPr>
          <w:rFonts w:ascii="Times New Roman" w:eastAsia="Calibri" w:hAnsi="Times New Roman"/>
          <w:lang w:val="cs-CZ"/>
        </w:rPr>
        <w:t>Kupující je příjemcem dotací poskytnutých Ministerstvem školství, mládeže a tělovýchovy. Plnění z této smlouvy bude hrazeno z projektu:</w:t>
      </w:r>
    </w:p>
    <w:p w14:paraId="6E8118A9" w14:textId="4F921F6C" w:rsidR="00640CB1" w:rsidRPr="00640CB1" w:rsidRDefault="00640CB1" w:rsidP="00640CB1">
      <w:pPr>
        <w:pStyle w:val="Bezmezer"/>
        <w:numPr>
          <w:ilvl w:val="0"/>
          <w:numId w:val="25"/>
        </w:numPr>
        <w:spacing w:line="264" w:lineRule="auto"/>
        <w:jc w:val="both"/>
        <w:rPr>
          <w:rFonts w:ascii="Times New Roman" w:eastAsia="Calibri" w:hAnsi="Times New Roman"/>
          <w:lang w:val="cs-CZ"/>
        </w:rPr>
      </w:pPr>
      <w:proofErr w:type="spellStart"/>
      <w:r w:rsidRPr="00640CB1">
        <w:rPr>
          <w:rFonts w:ascii="Times New Roman" w:hAnsi="Times New Roman"/>
          <w:b/>
        </w:rPr>
        <w:t>Brookhavenská</w:t>
      </w:r>
      <w:proofErr w:type="spellEnd"/>
      <w:r w:rsidRPr="00640CB1">
        <w:rPr>
          <w:rFonts w:ascii="Times New Roman" w:hAnsi="Times New Roman"/>
          <w:b/>
        </w:rPr>
        <w:t xml:space="preserve"> </w:t>
      </w:r>
      <w:proofErr w:type="spellStart"/>
      <w:r w:rsidRPr="00640CB1">
        <w:rPr>
          <w:rFonts w:ascii="Times New Roman" w:hAnsi="Times New Roman"/>
          <w:b/>
        </w:rPr>
        <w:t>národní</w:t>
      </w:r>
      <w:proofErr w:type="spellEnd"/>
      <w:r w:rsidRPr="00640CB1">
        <w:rPr>
          <w:rFonts w:ascii="Times New Roman" w:hAnsi="Times New Roman"/>
          <w:b/>
        </w:rPr>
        <w:t xml:space="preserve"> </w:t>
      </w:r>
      <w:proofErr w:type="spellStart"/>
      <w:r w:rsidRPr="00640CB1">
        <w:rPr>
          <w:rFonts w:ascii="Times New Roman" w:hAnsi="Times New Roman"/>
          <w:b/>
        </w:rPr>
        <w:t>laboratoř</w:t>
      </w:r>
      <w:proofErr w:type="spellEnd"/>
      <w:r w:rsidRPr="00640CB1">
        <w:rPr>
          <w:rFonts w:ascii="Times New Roman" w:hAnsi="Times New Roman"/>
          <w:b/>
        </w:rPr>
        <w:t xml:space="preserve"> – </w:t>
      </w:r>
      <w:proofErr w:type="spellStart"/>
      <w:r w:rsidRPr="00640CB1">
        <w:rPr>
          <w:rFonts w:ascii="Times New Roman" w:hAnsi="Times New Roman"/>
          <w:b/>
        </w:rPr>
        <w:t>účast</w:t>
      </w:r>
      <w:proofErr w:type="spellEnd"/>
      <w:r w:rsidRPr="00640CB1">
        <w:rPr>
          <w:rFonts w:ascii="Times New Roman" w:hAnsi="Times New Roman"/>
          <w:b/>
        </w:rPr>
        <w:t xml:space="preserve"> </w:t>
      </w:r>
      <w:proofErr w:type="spellStart"/>
      <w:r w:rsidRPr="00640CB1">
        <w:rPr>
          <w:rFonts w:ascii="Times New Roman" w:hAnsi="Times New Roman"/>
          <w:b/>
        </w:rPr>
        <w:t>České</w:t>
      </w:r>
      <w:proofErr w:type="spellEnd"/>
      <w:r w:rsidRPr="00640CB1">
        <w:rPr>
          <w:rFonts w:ascii="Times New Roman" w:hAnsi="Times New Roman"/>
          <w:b/>
        </w:rPr>
        <w:t xml:space="preserve"> </w:t>
      </w:r>
      <w:proofErr w:type="spellStart"/>
      <w:r w:rsidRPr="00640CB1">
        <w:rPr>
          <w:rFonts w:ascii="Times New Roman" w:hAnsi="Times New Roman"/>
          <w:b/>
        </w:rPr>
        <w:t>republiky</w:t>
      </w:r>
      <w:proofErr w:type="spellEnd"/>
      <w:r w:rsidRPr="00640CB1">
        <w:rPr>
          <w:rFonts w:ascii="Times New Roman" w:hAnsi="Times New Roman"/>
          <w:b/>
        </w:rPr>
        <w:t>,</w:t>
      </w:r>
      <w:r>
        <w:rPr>
          <w:rFonts w:ascii="Times New Roman" w:hAnsi="Times New Roman"/>
          <w:b/>
        </w:rPr>
        <w:t xml:space="preserve"> reg. </w:t>
      </w:r>
      <w:proofErr w:type="spellStart"/>
      <w:r>
        <w:rPr>
          <w:rFonts w:ascii="Times New Roman" w:hAnsi="Times New Roman"/>
          <w:b/>
        </w:rPr>
        <w:t>číslo</w:t>
      </w:r>
      <w:proofErr w:type="spellEnd"/>
      <w:r w:rsidR="0042492E">
        <w:rPr>
          <w:rFonts w:ascii="Times New Roman" w:hAnsi="Times New Roman"/>
          <w:b/>
        </w:rPr>
        <w:t xml:space="preserve">: </w:t>
      </w:r>
      <w:r w:rsidRPr="00640CB1">
        <w:rPr>
          <w:rFonts w:ascii="Times New Roman" w:hAnsi="Times New Roman"/>
          <w:b/>
        </w:rPr>
        <w:t xml:space="preserve"> LM 2023034 (BNL).</w:t>
      </w:r>
    </w:p>
    <w:p w14:paraId="7954FCE1" w14:textId="77777777" w:rsidR="00640CB1" w:rsidRDefault="00640CB1" w:rsidP="00640CB1">
      <w:pPr>
        <w:pStyle w:val="Bezmezer"/>
        <w:spacing w:line="264" w:lineRule="auto"/>
        <w:ind w:left="-142"/>
        <w:jc w:val="both"/>
        <w:rPr>
          <w:rFonts w:ascii="Times New Roman" w:eastAsia="Calibri" w:hAnsi="Times New Roman"/>
          <w:lang w:val="cs-CZ"/>
        </w:rPr>
      </w:pPr>
    </w:p>
    <w:p w14:paraId="1AD204F0" w14:textId="77777777" w:rsidR="00640CB1" w:rsidRDefault="00640CB1" w:rsidP="00490F2E">
      <w:pPr>
        <w:pStyle w:val="Bezmezer"/>
        <w:spacing w:line="264" w:lineRule="auto"/>
        <w:ind w:left="-142"/>
        <w:jc w:val="both"/>
        <w:rPr>
          <w:rFonts w:ascii="Times New Roman" w:eastAsia="Calibri" w:hAnsi="Times New Roman"/>
          <w:lang w:val="cs-CZ"/>
        </w:rPr>
      </w:pP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Pr="00106090"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w:t>
      </w:r>
      <w:r w:rsidR="007B6DE3" w:rsidRPr="00050100">
        <w:rPr>
          <w:rFonts w:ascii="Times New Roman" w:hAnsi="Times New Roman"/>
        </w:rPr>
        <w:lastRenderedPageBreak/>
        <w:t xml:space="preserve">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w:t>
      </w:r>
      <w:r w:rsidR="00367C9D" w:rsidRPr="00050100">
        <w:rPr>
          <w:rFonts w:ascii="Times New Roman" w:hAnsi="Times New Roman"/>
          <w:spacing w:val="-3"/>
        </w:rPr>
        <w:lastRenderedPageBreak/>
        <w:t>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 xml:space="preserve">upujícího o případném ohrožení doby plnění </w:t>
      </w:r>
      <w:r w:rsidR="00D72179" w:rsidRPr="00050100">
        <w:rPr>
          <w:rFonts w:ascii="Times New Roman" w:hAnsi="Times New Roman"/>
        </w:rPr>
        <w:lastRenderedPageBreak/>
        <w:t>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4C393650"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106090">
        <w:rPr>
          <w:rFonts w:ascii="Times New Roman" w:hAnsi="Times New Roman"/>
          <w:spacing w:val="-2"/>
        </w:rPr>
        <w:t>24</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lastRenderedPageBreak/>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bookmarkStart w:id="0" w:name="_GoBack"/>
      <w:bookmarkEnd w:id="0"/>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lastRenderedPageBreak/>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D6EBFED" w14:textId="5FCDD3A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lastRenderedPageBreak/>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51EAE4F0" w14:textId="77777777" w:rsidR="0029670F" w:rsidRPr="00050100" w:rsidRDefault="0029670F" w:rsidP="00333731">
      <w:pPr>
        <w:spacing w:line="276" w:lineRule="auto"/>
        <w:jc w:val="both"/>
        <w:rPr>
          <w:rFonts w:ascii="Times New Roman" w:hAnsi="Times New Roman"/>
        </w:rPr>
      </w:pP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556E" w14:textId="77777777" w:rsidR="00776846" w:rsidRDefault="00776846">
      <w:r>
        <w:separator/>
      </w:r>
    </w:p>
  </w:endnote>
  <w:endnote w:type="continuationSeparator" w:id="0">
    <w:p w14:paraId="04C310AA" w14:textId="77777777" w:rsidR="00776846" w:rsidRDefault="0077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24AE" w14:textId="77777777" w:rsidR="00776846" w:rsidRDefault="00776846">
      <w:r>
        <w:separator/>
      </w:r>
    </w:p>
  </w:footnote>
  <w:footnote w:type="continuationSeparator" w:id="0">
    <w:p w14:paraId="28062D1C" w14:textId="77777777" w:rsidR="00776846" w:rsidRDefault="0077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A08A" w14:textId="77777777" w:rsidR="00E57A86" w:rsidRDefault="00E57A86">
    <w:pPr>
      <w:pStyle w:val="Zhlav"/>
    </w:pPr>
  </w:p>
  <w:p w14:paraId="4ABBAA85" w14:textId="77777777" w:rsidR="00333731" w:rsidRDefault="00333731">
    <w:pPr>
      <w:pStyle w:val="Zhlav"/>
    </w:pPr>
  </w:p>
  <w:p w14:paraId="1C8988BC" w14:textId="77777777" w:rsidR="00F35ED1" w:rsidRDefault="00261509" w:rsidP="00FF0D1A">
    <w:pPr>
      <w:pStyle w:val="Zhlav"/>
    </w:pPr>
    <w:r>
      <w:rPr>
        <w:rFonts w:ascii="Times New Roman" w:hAnsi="Times New Roman"/>
        <w:b/>
        <w:noProof/>
        <w:sz w:val="24"/>
        <w:szCs w:val="24"/>
        <w:lang w:eastAsia="cs-CZ"/>
      </w:rPr>
      <w:drawing>
        <wp:inline distT="0" distB="0" distL="0" distR="0" wp14:anchorId="528A7237" wp14:editId="244C990D">
          <wp:extent cx="365760" cy="6362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636270"/>
                  </a:xfrm>
                  <a:prstGeom prst="rect">
                    <a:avLst/>
                  </a:prstGeom>
                  <a:noFill/>
                  <a:ln>
                    <a:noFill/>
                  </a:ln>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8"/>
  </w:num>
  <w:num w:numId="3">
    <w:abstractNumId w:val="0"/>
  </w:num>
  <w:num w:numId="4">
    <w:abstractNumId w:val="3"/>
  </w:num>
  <w:num w:numId="5">
    <w:abstractNumId w:val="14"/>
  </w:num>
  <w:num w:numId="6">
    <w:abstractNumId w:val="5"/>
  </w:num>
  <w:num w:numId="7">
    <w:abstractNumId w:val="6"/>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0"/>
  </w:num>
  <w:num w:numId="18">
    <w:abstractNumId w:val="16"/>
  </w:num>
  <w:num w:numId="19">
    <w:abstractNumId w:val="7"/>
  </w:num>
  <w:num w:numId="20">
    <w:abstractNumId w:val="17"/>
  </w:num>
  <w:num w:numId="21">
    <w:abstractNumId w:val="1"/>
  </w:num>
  <w:num w:numId="22">
    <w:abstractNumId w:val="11"/>
  </w:num>
  <w:num w:numId="23">
    <w:abstractNumId w:val="2"/>
  </w:num>
  <w:num w:numId="24">
    <w:abstractNumId w:val="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60A04"/>
    <w:rsid w:val="00260F44"/>
    <w:rsid w:val="00261509"/>
    <w:rsid w:val="00265D32"/>
    <w:rsid w:val="00267FE8"/>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492E"/>
    <w:rsid w:val="00425A72"/>
    <w:rsid w:val="0043149B"/>
    <w:rsid w:val="004334DC"/>
    <w:rsid w:val="00437C15"/>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49B4"/>
    <w:rsid w:val="005B50AD"/>
    <w:rsid w:val="005C3A34"/>
    <w:rsid w:val="005D121F"/>
    <w:rsid w:val="005D2A2C"/>
    <w:rsid w:val="005D2D72"/>
    <w:rsid w:val="005D3CD4"/>
    <w:rsid w:val="005D48AA"/>
    <w:rsid w:val="005D4FC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45DA9"/>
    <w:rsid w:val="00B51806"/>
    <w:rsid w:val="00B60974"/>
    <w:rsid w:val="00B63ECC"/>
    <w:rsid w:val="00B722E6"/>
    <w:rsid w:val="00B72870"/>
    <w:rsid w:val="00B83B20"/>
    <w:rsid w:val="00B86AA8"/>
    <w:rsid w:val="00B90CCC"/>
    <w:rsid w:val="00B920E6"/>
    <w:rsid w:val="00B9347E"/>
    <w:rsid w:val="00BA2A82"/>
    <w:rsid w:val="00BA328C"/>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35E0"/>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3.xml><?xml version="1.0" encoding="utf-8"?>
<ds:datastoreItem xmlns:ds="http://schemas.openxmlformats.org/officeDocument/2006/customXml" ds:itemID="{42052596-C650-483E-B00F-073767591580}">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 ds:uri="5d7613ff-490a-4d5d-8dfb-fa737d953158"/>
    <ds:schemaRef ds:uri="http://schemas.microsoft.com/office/infopath/2007/PartnerControls"/>
    <ds:schemaRef ds:uri="6bf57cb4-cbb8-4680-a8b6-f4925622197e"/>
  </ds:schemaRefs>
</ds:datastoreItem>
</file>

<file path=customXml/itemProps4.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9</Pages>
  <Words>3475</Words>
  <Characters>20509</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Lenka Cinková</cp:lastModifiedBy>
  <cp:revision>53</cp:revision>
  <cp:lastPrinted>2019-03-13T08:19:00Z</cp:lastPrinted>
  <dcterms:created xsi:type="dcterms:W3CDTF">2021-04-06T14:31:00Z</dcterms:created>
  <dcterms:modified xsi:type="dcterms:W3CDTF">2025-06-03T08:29:00Z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